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84" w:rsidRPr="00465984" w:rsidRDefault="003541B0" w:rsidP="00465984">
      <w:pPr>
        <w:jc w:val="center"/>
        <w:rPr>
          <w:rFonts w:ascii="Arial" w:hAnsi="Arial" w:cs="Arial"/>
          <w:b/>
          <w:bCs/>
          <w:sz w:val="24"/>
          <w:szCs w:val="24"/>
        </w:rPr>
      </w:pPr>
      <w:r w:rsidRPr="003541B0">
        <w:rPr>
          <w:rFonts w:ascii="Arial" w:hAnsi="Arial" w:cs="Arial"/>
          <w:b/>
          <w:bCs/>
          <w:sz w:val="24"/>
          <w:szCs w:val="24"/>
        </w:rPr>
        <w:t xml:space="preserve">INSTRUCTIVO PARA EL DILIGENCIAMIENTO DEL “FORMATO </w:t>
      </w:r>
      <w:r>
        <w:rPr>
          <w:rFonts w:ascii="Arial" w:hAnsi="Arial" w:cs="Arial"/>
          <w:b/>
          <w:bCs/>
          <w:sz w:val="24"/>
          <w:szCs w:val="24"/>
        </w:rPr>
        <w:t xml:space="preserve"> CGDS- 007 </w:t>
      </w:r>
      <w:r w:rsidRPr="003541B0">
        <w:rPr>
          <w:rFonts w:ascii="Arial" w:hAnsi="Arial" w:cs="Arial"/>
          <w:b/>
          <w:bCs/>
          <w:sz w:val="24"/>
          <w:szCs w:val="24"/>
        </w:rPr>
        <w:t>CONTROL FISCAL DE LOS PATRIMONIOS AUTÓNOMOS, FONDOS CUENTA Y FIDEICOMISOS ABIERTOS CON RECURSOS PÚBLICOS O PARAFISCALES”.</w:t>
      </w:r>
    </w:p>
    <w:p w:rsidR="00465984" w:rsidRDefault="00465984" w:rsidP="00465984">
      <w:pPr>
        <w:pStyle w:val="Prrafodelista"/>
        <w:ind w:left="0"/>
        <w:jc w:val="both"/>
        <w:rPr>
          <w:rFonts w:ascii="Arial" w:hAnsi="Arial" w:cs="Arial"/>
          <w:sz w:val="24"/>
          <w:szCs w:val="24"/>
        </w:rPr>
      </w:pPr>
      <w:r w:rsidRPr="005C0FAB">
        <w:rPr>
          <w:rFonts w:ascii="Arial" w:hAnsi="Arial" w:cs="Arial"/>
          <w:sz w:val="24"/>
          <w:szCs w:val="24"/>
        </w:rPr>
        <w:t xml:space="preserve">Los dineros públicos administrados por fiduciarias, deben ser objeto de control fiscal, para verificar que sean manejados con estricto cumplimiento de los objetivos previstos en el contrato y se deberá analizar la </w:t>
      </w:r>
      <w:r w:rsidRPr="005C0FAB">
        <w:rPr>
          <w:rFonts w:ascii="Arial" w:hAnsi="Arial" w:cs="Arial"/>
          <w:b/>
          <w:bCs/>
          <w:sz w:val="24"/>
          <w:szCs w:val="24"/>
        </w:rPr>
        <w:t>efectividad</w:t>
      </w:r>
      <w:r w:rsidRPr="005C0FAB">
        <w:rPr>
          <w:rFonts w:ascii="Arial" w:hAnsi="Arial" w:cs="Arial"/>
          <w:sz w:val="24"/>
          <w:szCs w:val="24"/>
        </w:rPr>
        <w:t xml:space="preserve">, la </w:t>
      </w:r>
      <w:r w:rsidRPr="005C0FAB">
        <w:rPr>
          <w:rFonts w:ascii="Arial" w:hAnsi="Arial" w:cs="Arial"/>
          <w:b/>
          <w:bCs/>
          <w:sz w:val="24"/>
          <w:szCs w:val="24"/>
        </w:rPr>
        <w:t>eficiencia</w:t>
      </w:r>
      <w:r w:rsidRPr="005C0FAB">
        <w:rPr>
          <w:rFonts w:ascii="Arial" w:hAnsi="Arial" w:cs="Arial"/>
          <w:sz w:val="24"/>
          <w:szCs w:val="24"/>
        </w:rPr>
        <w:t xml:space="preserve">, la </w:t>
      </w:r>
      <w:r w:rsidRPr="005C0FAB">
        <w:rPr>
          <w:rFonts w:ascii="Arial" w:hAnsi="Arial" w:cs="Arial"/>
          <w:b/>
          <w:bCs/>
          <w:sz w:val="24"/>
          <w:szCs w:val="24"/>
        </w:rPr>
        <w:t>pertinencia</w:t>
      </w:r>
      <w:r w:rsidRPr="005C0FAB">
        <w:rPr>
          <w:rFonts w:ascii="Arial" w:hAnsi="Arial" w:cs="Arial"/>
          <w:sz w:val="24"/>
          <w:szCs w:val="24"/>
        </w:rPr>
        <w:t xml:space="preserve">, la </w:t>
      </w:r>
      <w:r w:rsidRPr="005C0FAB">
        <w:rPr>
          <w:rFonts w:ascii="Arial" w:hAnsi="Arial" w:cs="Arial"/>
          <w:b/>
          <w:bCs/>
          <w:sz w:val="24"/>
          <w:szCs w:val="24"/>
        </w:rPr>
        <w:t>necesidad</w:t>
      </w:r>
      <w:r w:rsidRPr="005C0FAB">
        <w:rPr>
          <w:rFonts w:ascii="Arial" w:hAnsi="Arial" w:cs="Arial"/>
          <w:sz w:val="24"/>
          <w:szCs w:val="24"/>
        </w:rPr>
        <w:t xml:space="preserve"> y la </w:t>
      </w:r>
      <w:r w:rsidRPr="005C0FAB">
        <w:rPr>
          <w:rFonts w:ascii="Arial" w:hAnsi="Arial" w:cs="Arial"/>
          <w:b/>
          <w:bCs/>
          <w:sz w:val="24"/>
          <w:szCs w:val="24"/>
        </w:rPr>
        <w:t xml:space="preserve">prioridad </w:t>
      </w:r>
      <w:r w:rsidRPr="005C0FAB">
        <w:rPr>
          <w:rFonts w:ascii="Arial" w:hAnsi="Arial" w:cs="Arial"/>
          <w:sz w:val="24"/>
          <w:szCs w:val="24"/>
        </w:rPr>
        <w:t>como base para determinar la conveniencia de la utilización de los esquemas fiduciarios para el manejo de éstos recursos.</w:t>
      </w:r>
    </w:p>
    <w:p w:rsidR="003541B0" w:rsidRPr="003541B0" w:rsidRDefault="00465984" w:rsidP="003541B0">
      <w:pPr>
        <w:jc w:val="both"/>
        <w:rPr>
          <w:rFonts w:ascii="Arial" w:hAnsi="Arial" w:cs="Arial"/>
          <w:sz w:val="24"/>
          <w:szCs w:val="24"/>
        </w:rPr>
      </w:pPr>
      <w:r>
        <w:rPr>
          <w:rFonts w:ascii="Arial" w:hAnsi="Arial" w:cs="Arial"/>
          <w:sz w:val="24"/>
          <w:szCs w:val="24"/>
        </w:rPr>
        <w:t>Por lo cual l</w:t>
      </w:r>
      <w:r w:rsidR="003541B0" w:rsidRPr="003541B0">
        <w:rPr>
          <w:rFonts w:ascii="Arial" w:hAnsi="Arial" w:cs="Arial"/>
          <w:sz w:val="24"/>
          <w:szCs w:val="24"/>
        </w:rPr>
        <w:t>os sujetos de Control de la</w:t>
      </w:r>
      <w:r w:rsidR="003541B0">
        <w:rPr>
          <w:rFonts w:ascii="Arial" w:hAnsi="Arial" w:cs="Arial"/>
          <w:sz w:val="24"/>
          <w:szCs w:val="24"/>
        </w:rPr>
        <w:t xml:space="preserve"> Contraloría General del Departamento de Sucre</w:t>
      </w:r>
      <w:r w:rsidR="003541B0" w:rsidRPr="003541B0">
        <w:rPr>
          <w:rFonts w:ascii="Arial" w:hAnsi="Arial" w:cs="Arial"/>
          <w:sz w:val="24"/>
          <w:szCs w:val="24"/>
        </w:rPr>
        <w:t xml:space="preserve"> deben </w:t>
      </w:r>
      <w:r w:rsidR="003541B0">
        <w:rPr>
          <w:rFonts w:ascii="Arial" w:hAnsi="Arial" w:cs="Arial"/>
          <w:sz w:val="24"/>
          <w:szCs w:val="24"/>
        </w:rPr>
        <w:t>rendir</w:t>
      </w:r>
      <w:r w:rsidR="003541B0" w:rsidRPr="003541B0">
        <w:rPr>
          <w:rFonts w:ascii="Arial" w:hAnsi="Arial" w:cs="Arial"/>
          <w:sz w:val="24"/>
          <w:szCs w:val="24"/>
        </w:rPr>
        <w:t xml:space="preserve"> reporte bimestral de la información correspondiente a los patrimonios autónomos, fondos cuenta y fideicomisos vigentes</w:t>
      </w:r>
      <w:r>
        <w:rPr>
          <w:rFonts w:ascii="Arial" w:hAnsi="Arial" w:cs="Arial"/>
          <w:sz w:val="24"/>
          <w:szCs w:val="24"/>
        </w:rPr>
        <w:t>.</w:t>
      </w:r>
    </w:p>
    <w:p w:rsidR="003541B0" w:rsidRPr="003541B0" w:rsidRDefault="003541B0" w:rsidP="003541B0">
      <w:pPr>
        <w:pStyle w:val="Prrafodelista"/>
        <w:ind w:hanging="720"/>
        <w:jc w:val="both"/>
        <w:rPr>
          <w:rFonts w:ascii="Arial" w:hAnsi="Arial" w:cs="Arial"/>
          <w:b/>
          <w:bCs/>
          <w:sz w:val="24"/>
          <w:szCs w:val="24"/>
        </w:rPr>
      </w:pPr>
      <w:r w:rsidRPr="003541B0">
        <w:rPr>
          <w:rFonts w:ascii="Arial" w:hAnsi="Arial" w:cs="Arial"/>
          <w:b/>
          <w:bCs/>
          <w:sz w:val="24"/>
          <w:szCs w:val="24"/>
        </w:rPr>
        <w:t>INVENTARIO (Información recibida de los entes vigilados).</w:t>
      </w:r>
    </w:p>
    <w:p w:rsidR="003541B0" w:rsidRDefault="003541B0" w:rsidP="00465984">
      <w:pPr>
        <w:pStyle w:val="Prrafodelista"/>
        <w:spacing w:after="0" w:line="240" w:lineRule="auto"/>
        <w:ind w:hanging="720"/>
        <w:jc w:val="both"/>
        <w:rPr>
          <w:rFonts w:ascii="Arial" w:hAnsi="Arial" w:cs="Arial"/>
          <w:b/>
          <w:bCs/>
          <w:sz w:val="24"/>
          <w:szCs w:val="24"/>
        </w:rPr>
      </w:pPr>
    </w:p>
    <w:p w:rsidR="003541B0" w:rsidRPr="003541B0" w:rsidRDefault="003541B0" w:rsidP="00465984">
      <w:pPr>
        <w:pStyle w:val="Prrafodelista"/>
        <w:numPr>
          <w:ilvl w:val="0"/>
          <w:numId w:val="1"/>
        </w:numPr>
        <w:spacing w:after="0" w:line="240" w:lineRule="auto"/>
        <w:jc w:val="both"/>
        <w:rPr>
          <w:rFonts w:ascii="Arial" w:hAnsi="Arial" w:cs="Arial"/>
          <w:b/>
          <w:bCs/>
          <w:sz w:val="24"/>
          <w:szCs w:val="24"/>
        </w:rPr>
      </w:pPr>
      <w:r w:rsidRPr="003541B0">
        <w:rPr>
          <w:rFonts w:ascii="Arial" w:hAnsi="Arial" w:cs="Arial"/>
          <w:b/>
          <w:bCs/>
          <w:sz w:val="24"/>
          <w:szCs w:val="24"/>
        </w:rPr>
        <w:t xml:space="preserve"> Entidad Fiduciante (Columna 1°): </w:t>
      </w:r>
    </w:p>
    <w:p w:rsidR="003541B0" w:rsidRPr="0065540A" w:rsidRDefault="003541B0" w:rsidP="0065540A">
      <w:pPr>
        <w:spacing w:after="0" w:line="240" w:lineRule="auto"/>
        <w:jc w:val="both"/>
        <w:rPr>
          <w:rFonts w:ascii="Arial" w:hAnsi="Arial" w:cs="Arial"/>
          <w:sz w:val="24"/>
          <w:szCs w:val="24"/>
        </w:rPr>
      </w:pPr>
      <w:r w:rsidRPr="003541B0">
        <w:rPr>
          <w:rFonts w:ascii="Arial" w:hAnsi="Arial" w:cs="Arial"/>
          <w:sz w:val="24"/>
          <w:szCs w:val="24"/>
        </w:rPr>
        <w:t>El fiduciante o fideicomitente es el Municipio, Departamento o entidad vigilada que constituye el negocio fiduciario invirtiendo o comprometiendo en él recursos públicos o parafiscales.</w:t>
      </w:r>
    </w:p>
    <w:p w:rsidR="003541B0" w:rsidRPr="003541B0" w:rsidRDefault="003541B0" w:rsidP="00465984">
      <w:pPr>
        <w:pStyle w:val="Prrafodelista"/>
        <w:numPr>
          <w:ilvl w:val="0"/>
          <w:numId w:val="1"/>
        </w:numPr>
        <w:spacing w:after="0" w:line="240" w:lineRule="auto"/>
        <w:jc w:val="both"/>
        <w:rPr>
          <w:rFonts w:ascii="Arial" w:hAnsi="Arial" w:cs="Arial"/>
          <w:b/>
          <w:bCs/>
          <w:sz w:val="24"/>
          <w:szCs w:val="24"/>
        </w:rPr>
      </w:pPr>
      <w:r w:rsidRPr="003541B0">
        <w:rPr>
          <w:rFonts w:ascii="Arial" w:hAnsi="Arial" w:cs="Arial"/>
          <w:b/>
          <w:bCs/>
          <w:sz w:val="24"/>
          <w:szCs w:val="24"/>
        </w:rPr>
        <w:t xml:space="preserve"> Fiduciaria (Columna 2°): </w:t>
      </w:r>
    </w:p>
    <w:p w:rsidR="003541B0" w:rsidRPr="0065540A" w:rsidRDefault="003541B0" w:rsidP="0065540A">
      <w:pPr>
        <w:spacing w:after="0" w:line="240" w:lineRule="auto"/>
        <w:jc w:val="both"/>
        <w:rPr>
          <w:rFonts w:ascii="Arial" w:hAnsi="Arial" w:cs="Arial"/>
          <w:sz w:val="24"/>
          <w:szCs w:val="24"/>
        </w:rPr>
      </w:pPr>
      <w:r w:rsidRPr="003541B0">
        <w:rPr>
          <w:rFonts w:ascii="Arial" w:hAnsi="Arial" w:cs="Arial"/>
          <w:sz w:val="24"/>
          <w:szCs w:val="24"/>
        </w:rPr>
        <w:t>Es la entidad autorizada por la Superintendencia Financiera para contratar negocios fiduciarios, incluyendo inversiones en fondos comunes o carteras colectivas.</w:t>
      </w:r>
    </w:p>
    <w:p w:rsidR="003541B0" w:rsidRPr="005C0FAB" w:rsidRDefault="003541B0" w:rsidP="00465984">
      <w:pPr>
        <w:pStyle w:val="Prrafodelista"/>
        <w:numPr>
          <w:ilvl w:val="0"/>
          <w:numId w:val="1"/>
        </w:numPr>
        <w:spacing w:after="0" w:line="240" w:lineRule="auto"/>
        <w:jc w:val="both"/>
        <w:rPr>
          <w:rFonts w:ascii="Arial" w:hAnsi="Arial" w:cs="Arial"/>
          <w:b/>
          <w:bCs/>
          <w:sz w:val="24"/>
          <w:szCs w:val="24"/>
        </w:rPr>
      </w:pPr>
      <w:r w:rsidRPr="005C0FAB">
        <w:rPr>
          <w:rFonts w:ascii="Arial" w:hAnsi="Arial" w:cs="Arial"/>
          <w:sz w:val="24"/>
          <w:szCs w:val="24"/>
        </w:rPr>
        <w:t xml:space="preserve"> </w:t>
      </w:r>
      <w:r w:rsidRPr="005C0FAB">
        <w:rPr>
          <w:rFonts w:ascii="Arial" w:hAnsi="Arial" w:cs="Arial"/>
          <w:b/>
          <w:bCs/>
          <w:sz w:val="24"/>
          <w:szCs w:val="24"/>
        </w:rPr>
        <w:t xml:space="preserve">Clase de Negocio Fiduciario o Fiducia (Columna 3°): </w:t>
      </w:r>
    </w:p>
    <w:p w:rsidR="003541B0" w:rsidRDefault="003541B0" w:rsidP="00465984">
      <w:pPr>
        <w:spacing w:after="0" w:line="240" w:lineRule="auto"/>
        <w:jc w:val="both"/>
        <w:rPr>
          <w:rFonts w:ascii="Arial" w:hAnsi="Arial" w:cs="Arial"/>
          <w:sz w:val="24"/>
          <w:szCs w:val="24"/>
        </w:rPr>
      </w:pPr>
      <w:r w:rsidRPr="005C0FAB">
        <w:rPr>
          <w:rFonts w:ascii="Arial" w:hAnsi="Arial" w:cs="Arial"/>
          <w:sz w:val="24"/>
          <w:szCs w:val="24"/>
        </w:rPr>
        <w:t>La Superintendencia Financiera tiene establecida una clasificación de negocios fiduciarios en la cual se contemplan todas las modalidades autorizadas legalmente.</w:t>
      </w:r>
    </w:p>
    <w:p w:rsidR="00465984" w:rsidRPr="005C0FAB" w:rsidRDefault="00465984" w:rsidP="00465984">
      <w:pPr>
        <w:spacing w:after="0" w:line="240" w:lineRule="auto"/>
        <w:jc w:val="both"/>
        <w:rPr>
          <w:rFonts w:ascii="Arial" w:hAnsi="Arial" w:cs="Arial"/>
          <w:sz w:val="24"/>
          <w:szCs w:val="24"/>
        </w:rPr>
      </w:pPr>
    </w:p>
    <w:p w:rsidR="003541B0" w:rsidRDefault="003541B0" w:rsidP="00465984">
      <w:pPr>
        <w:spacing w:after="0" w:line="240" w:lineRule="auto"/>
        <w:jc w:val="both"/>
        <w:rPr>
          <w:rFonts w:ascii="Arial" w:hAnsi="Arial" w:cs="Arial"/>
          <w:sz w:val="24"/>
          <w:szCs w:val="24"/>
        </w:rPr>
      </w:pPr>
      <w:r w:rsidRPr="005C0FAB">
        <w:rPr>
          <w:rFonts w:ascii="Arial" w:hAnsi="Arial" w:cs="Arial"/>
          <w:sz w:val="24"/>
          <w:szCs w:val="24"/>
        </w:rPr>
        <w:t xml:space="preserve">En el texto del contrato fiduciario firmado por el ente vigilado con la entidad fiduciaria debe estar claramente especificado el </w:t>
      </w:r>
      <w:r w:rsidRPr="005C0FAB">
        <w:rPr>
          <w:rFonts w:ascii="Arial" w:hAnsi="Arial" w:cs="Arial"/>
          <w:b/>
          <w:bCs/>
          <w:sz w:val="24"/>
          <w:szCs w:val="24"/>
        </w:rPr>
        <w:t xml:space="preserve">Tipo de Negocio </w:t>
      </w:r>
      <w:r w:rsidRPr="005C0FAB">
        <w:rPr>
          <w:rFonts w:ascii="Arial" w:hAnsi="Arial" w:cs="Arial"/>
          <w:sz w:val="24"/>
          <w:szCs w:val="24"/>
        </w:rPr>
        <w:t>que obedece a la finalidad del mismo.</w:t>
      </w:r>
    </w:p>
    <w:p w:rsidR="00465984" w:rsidRPr="005C0FAB" w:rsidRDefault="00465984" w:rsidP="00465984">
      <w:pPr>
        <w:spacing w:after="0" w:line="240" w:lineRule="auto"/>
        <w:jc w:val="both"/>
        <w:rPr>
          <w:rFonts w:ascii="Arial" w:hAnsi="Arial" w:cs="Arial"/>
          <w:sz w:val="24"/>
          <w:szCs w:val="24"/>
        </w:rPr>
      </w:pPr>
    </w:p>
    <w:p w:rsidR="0065540A" w:rsidRDefault="003541B0" w:rsidP="0065540A">
      <w:pPr>
        <w:spacing w:after="0" w:line="240" w:lineRule="auto"/>
        <w:jc w:val="both"/>
        <w:rPr>
          <w:rFonts w:ascii="Arial" w:hAnsi="Arial" w:cs="Arial"/>
          <w:sz w:val="24"/>
          <w:szCs w:val="24"/>
        </w:rPr>
      </w:pPr>
      <w:r w:rsidRPr="005C0FAB">
        <w:rPr>
          <w:rFonts w:ascii="Arial" w:hAnsi="Arial" w:cs="Arial"/>
          <w:sz w:val="24"/>
          <w:szCs w:val="24"/>
        </w:rPr>
        <w:t xml:space="preserve">La clase de negocio fiduciario se debe seleccionar de la </w:t>
      </w:r>
      <w:r w:rsidRPr="005C0FAB">
        <w:rPr>
          <w:rFonts w:ascii="Arial" w:hAnsi="Arial" w:cs="Arial"/>
          <w:bCs/>
          <w:sz w:val="24"/>
          <w:szCs w:val="24"/>
        </w:rPr>
        <w:t>lista</w:t>
      </w:r>
      <w:r w:rsidRPr="005C0FAB">
        <w:rPr>
          <w:rFonts w:ascii="Arial" w:hAnsi="Arial" w:cs="Arial"/>
          <w:b/>
          <w:bCs/>
          <w:sz w:val="24"/>
          <w:szCs w:val="24"/>
        </w:rPr>
        <w:t xml:space="preserve"> </w:t>
      </w:r>
      <w:r w:rsidRPr="005C0FAB">
        <w:rPr>
          <w:rFonts w:ascii="Arial" w:hAnsi="Arial" w:cs="Arial"/>
          <w:sz w:val="24"/>
          <w:szCs w:val="24"/>
        </w:rPr>
        <w:t>corresponde a las categorías establecidas por la Superintendencia Financiera y son las siguientes:</w:t>
      </w:r>
    </w:p>
    <w:p w:rsidR="0065540A" w:rsidRPr="0065540A" w:rsidRDefault="0065540A" w:rsidP="0065540A">
      <w:pPr>
        <w:spacing w:after="0" w:line="240" w:lineRule="auto"/>
        <w:jc w:val="both"/>
        <w:rPr>
          <w:rFonts w:ascii="Arial" w:hAnsi="Arial" w:cs="Arial"/>
          <w:sz w:val="24"/>
          <w:szCs w:val="24"/>
        </w:rPr>
      </w:pPr>
    </w:p>
    <w:tbl>
      <w:tblPr>
        <w:tblStyle w:val="Sombreadoclaro-nfasis1"/>
        <w:tblW w:w="0" w:type="auto"/>
        <w:tblLook w:val="04A0"/>
      </w:tblPr>
      <w:tblGrid>
        <w:gridCol w:w="8978"/>
      </w:tblGrid>
      <w:tr w:rsidR="00871465" w:rsidTr="00871465">
        <w:trPr>
          <w:cnfStyle w:val="100000000000"/>
        </w:trPr>
        <w:tc>
          <w:tcPr>
            <w:cnfStyle w:val="001000000000"/>
            <w:tcW w:w="8978" w:type="dxa"/>
          </w:tcPr>
          <w:p w:rsidR="00871465" w:rsidRPr="00871465" w:rsidRDefault="00871465" w:rsidP="00871465">
            <w:pPr>
              <w:jc w:val="both"/>
              <w:rPr>
                <w:rFonts w:ascii="Arial" w:hAnsi="Arial" w:cs="Arial"/>
                <w:color w:val="auto"/>
              </w:rPr>
            </w:pPr>
            <w:r w:rsidRPr="00871465">
              <w:rPr>
                <w:rFonts w:ascii="Arial" w:hAnsi="Arial" w:cs="Arial"/>
                <w:bCs w:val="0"/>
                <w:color w:val="auto"/>
              </w:rPr>
              <w:t>Clase de negocios fiduciarios (fiducias) teniendo en cuenta la clasificación contenida en Capítulo V del Numeral 1.1 de la Circular 046 de la Superintendencia Financiera</w:t>
            </w:r>
          </w:p>
          <w:p w:rsidR="00871465" w:rsidRDefault="00871465" w:rsidP="003541B0">
            <w:pPr>
              <w:jc w:val="both"/>
              <w:rPr>
                <w:rFonts w:ascii="Arial" w:hAnsi="Arial" w:cs="Arial"/>
              </w:rPr>
            </w:pP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bookmarkStart w:id="0" w:name="RANGE!C5:C21"/>
            <w:r>
              <w:rPr>
                <w:rFonts w:ascii="Arial" w:hAnsi="Arial" w:cs="Arial"/>
                <w:color w:val="000000"/>
                <w:sz w:val="18"/>
                <w:szCs w:val="18"/>
              </w:rPr>
              <w:t>F. Inversión- Fideicomisos de inversión con destinación específica</w:t>
            </w:r>
            <w:bookmarkEnd w:id="0"/>
          </w:p>
        </w:tc>
      </w:tr>
      <w:tr w:rsidR="00871465" w:rsidTr="00871465">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Inversión- Administración de inversiones de fondos mutuos de inversión</w:t>
            </w: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Inmobiliaria- De administración y pagos</w:t>
            </w:r>
          </w:p>
        </w:tc>
      </w:tr>
      <w:tr w:rsidR="00871465" w:rsidTr="00871465">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Inmobiliaria - De tesorería</w:t>
            </w: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Inmobiliaria - De preventas</w:t>
            </w:r>
          </w:p>
        </w:tc>
      </w:tr>
      <w:tr w:rsidR="00871465" w:rsidTr="00871465">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de administración - Administración y pagos</w:t>
            </w: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de administración - Administración de procesos de titularización</w:t>
            </w:r>
          </w:p>
        </w:tc>
      </w:tr>
      <w:tr w:rsidR="00871465" w:rsidTr="00871465">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F.de administración - De cartera</w:t>
            </w: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F.de administración -De procesos concursales</w:t>
            </w:r>
          </w:p>
        </w:tc>
      </w:tr>
      <w:tr w:rsidR="00871465" w:rsidTr="00871465">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en garantía propiamente dicha</w:t>
            </w: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en garantía y fuente de pagos</w:t>
            </w:r>
          </w:p>
        </w:tc>
      </w:tr>
      <w:tr w:rsidR="00871465" w:rsidTr="00871465">
        <w:tc>
          <w:tcPr>
            <w:cnfStyle w:val="001000000000"/>
            <w:tcW w:w="8978" w:type="dxa"/>
          </w:tcPr>
          <w:p w:rsidR="00871465" w:rsidRDefault="00871465" w:rsidP="00871465">
            <w:pPr>
              <w:jc w:val="both"/>
              <w:rPr>
                <w:rFonts w:ascii="Arial" w:hAnsi="Arial" w:cs="Arial"/>
              </w:rPr>
            </w:pPr>
            <w:r>
              <w:rPr>
                <w:rFonts w:ascii="Arial" w:hAnsi="Arial" w:cs="Arial"/>
                <w:color w:val="000000"/>
                <w:sz w:val="18"/>
                <w:szCs w:val="18"/>
              </w:rPr>
              <w:t>F. con recursos del Sistema Gral. de Seguridad Social y o. - Pasivos pensiónales</w:t>
            </w:r>
          </w:p>
        </w:tc>
      </w:tr>
      <w:tr w:rsidR="00871465" w:rsidTr="00871465">
        <w:trPr>
          <w:cnfStyle w:val="000000100000"/>
        </w:trPr>
        <w:tc>
          <w:tcPr>
            <w:cnfStyle w:val="001000000000"/>
            <w:tcW w:w="8978" w:type="dxa"/>
          </w:tcPr>
          <w:p w:rsidR="00871465" w:rsidRDefault="00871465" w:rsidP="003541B0">
            <w:pPr>
              <w:jc w:val="both"/>
              <w:rPr>
                <w:rFonts w:ascii="Arial" w:hAnsi="Arial" w:cs="Arial"/>
              </w:rPr>
            </w:pPr>
            <w:r>
              <w:rPr>
                <w:rFonts w:ascii="Arial" w:hAnsi="Arial" w:cs="Arial"/>
                <w:color w:val="000000"/>
                <w:sz w:val="18"/>
                <w:szCs w:val="18"/>
              </w:rPr>
              <w:t>F. con recursos del sist. gral de seg.social y o.- Recursos seguridad social</w:t>
            </w:r>
          </w:p>
        </w:tc>
      </w:tr>
      <w:tr w:rsidR="00871465" w:rsidTr="00871465">
        <w:tc>
          <w:tcPr>
            <w:cnfStyle w:val="001000000000"/>
            <w:tcW w:w="8978" w:type="dxa"/>
          </w:tcPr>
          <w:p w:rsidR="00871465" w:rsidRDefault="00820CA9" w:rsidP="003541B0">
            <w:pPr>
              <w:jc w:val="both"/>
              <w:rPr>
                <w:rFonts w:ascii="Arial" w:hAnsi="Arial" w:cs="Arial"/>
                <w:color w:val="000000"/>
                <w:sz w:val="18"/>
                <w:szCs w:val="18"/>
              </w:rPr>
            </w:pPr>
            <w:r>
              <w:rPr>
                <w:rFonts w:ascii="Arial" w:hAnsi="Arial" w:cs="Arial"/>
                <w:color w:val="000000"/>
                <w:sz w:val="18"/>
                <w:szCs w:val="18"/>
              </w:rPr>
              <w:t xml:space="preserve">F. </w:t>
            </w:r>
            <w:r w:rsidR="00871465">
              <w:rPr>
                <w:rFonts w:ascii="Arial" w:hAnsi="Arial" w:cs="Arial"/>
                <w:color w:val="000000"/>
                <w:sz w:val="18"/>
                <w:szCs w:val="18"/>
              </w:rPr>
              <w:t>Cartera colectiva de tipo general</w:t>
            </w:r>
          </w:p>
        </w:tc>
      </w:tr>
      <w:tr w:rsidR="00871465" w:rsidTr="00871465">
        <w:trPr>
          <w:cnfStyle w:val="000000100000"/>
        </w:trPr>
        <w:tc>
          <w:tcPr>
            <w:cnfStyle w:val="001000000000"/>
            <w:tcW w:w="8978" w:type="dxa"/>
          </w:tcPr>
          <w:p w:rsidR="00871465" w:rsidRDefault="00820CA9" w:rsidP="003541B0">
            <w:pPr>
              <w:jc w:val="both"/>
              <w:rPr>
                <w:rFonts w:ascii="Arial" w:hAnsi="Arial" w:cs="Arial"/>
                <w:color w:val="000000"/>
                <w:sz w:val="18"/>
                <w:szCs w:val="18"/>
              </w:rPr>
            </w:pPr>
            <w:r>
              <w:rPr>
                <w:rFonts w:ascii="Arial" w:hAnsi="Arial" w:cs="Arial"/>
                <w:color w:val="000000"/>
                <w:sz w:val="18"/>
                <w:szCs w:val="18"/>
              </w:rPr>
              <w:t xml:space="preserve">F. </w:t>
            </w:r>
            <w:r w:rsidR="00871465">
              <w:rPr>
                <w:rFonts w:ascii="Arial" w:hAnsi="Arial" w:cs="Arial"/>
                <w:color w:val="000000"/>
                <w:sz w:val="18"/>
                <w:szCs w:val="18"/>
              </w:rPr>
              <w:t>Cartera colectiva del mercado monetario</w:t>
            </w:r>
          </w:p>
        </w:tc>
      </w:tr>
      <w:tr w:rsidR="00871465" w:rsidTr="00871465">
        <w:tc>
          <w:tcPr>
            <w:cnfStyle w:val="001000000000"/>
            <w:tcW w:w="8978" w:type="dxa"/>
          </w:tcPr>
          <w:p w:rsidR="00871465" w:rsidRDefault="00871465" w:rsidP="003541B0">
            <w:pPr>
              <w:jc w:val="both"/>
              <w:rPr>
                <w:rFonts w:ascii="Arial" w:hAnsi="Arial" w:cs="Arial"/>
                <w:color w:val="000000"/>
                <w:sz w:val="18"/>
                <w:szCs w:val="18"/>
              </w:rPr>
            </w:pPr>
            <w:r>
              <w:rPr>
                <w:rFonts w:ascii="Arial" w:hAnsi="Arial" w:cs="Arial"/>
                <w:color w:val="000000"/>
                <w:sz w:val="18"/>
                <w:szCs w:val="18"/>
              </w:rPr>
              <w:t>Fondos de capital privado</w:t>
            </w:r>
          </w:p>
        </w:tc>
      </w:tr>
      <w:tr w:rsidR="00871465" w:rsidTr="00871465">
        <w:trPr>
          <w:cnfStyle w:val="000000100000"/>
        </w:trPr>
        <w:tc>
          <w:tcPr>
            <w:cnfStyle w:val="001000000000"/>
            <w:tcW w:w="8978" w:type="dxa"/>
          </w:tcPr>
          <w:p w:rsidR="00871465" w:rsidRDefault="00871465" w:rsidP="003541B0">
            <w:pPr>
              <w:jc w:val="both"/>
              <w:rPr>
                <w:rFonts w:ascii="Arial" w:hAnsi="Arial" w:cs="Arial"/>
                <w:color w:val="000000"/>
                <w:sz w:val="18"/>
                <w:szCs w:val="18"/>
              </w:rPr>
            </w:pPr>
            <w:r>
              <w:rPr>
                <w:rFonts w:ascii="Arial" w:hAnsi="Arial" w:cs="Arial"/>
                <w:color w:val="000000"/>
                <w:sz w:val="18"/>
                <w:szCs w:val="18"/>
              </w:rPr>
              <w:t>Otra - (Se explica esta respuesta en la casilla de observaciones</w:t>
            </w:r>
          </w:p>
        </w:tc>
      </w:tr>
    </w:tbl>
    <w:p w:rsidR="00871465" w:rsidRDefault="00871465" w:rsidP="003541B0">
      <w:pPr>
        <w:jc w:val="both"/>
        <w:rPr>
          <w:rFonts w:ascii="Arial" w:hAnsi="Arial" w:cs="Arial"/>
        </w:rPr>
      </w:pPr>
    </w:p>
    <w:p w:rsidR="0065540A" w:rsidRDefault="0065540A" w:rsidP="00871465">
      <w:pPr>
        <w:jc w:val="both"/>
        <w:rPr>
          <w:rFonts w:ascii="Arial" w:hAnsi="Arial" w:cs="Arial"/>
          <w:b/>
          <w:sz w:val="24"/>
          <w:szCs w:val="24"/>
        </w:rPr>
      </w:pPr>
    </w:p>
    <w:p w:rsidR="0065540A" w:rsidRDefault="0065540A" w:rsidP="00871465">
      <w:pPr>
        <w:jc w:val="both"/>
        <w:rPr>
          <w:rFonts w:ascii="Arial" w:hAnsi="Arial" w:cs="Arial"/>
          <w:b/>
          <w:sz w:val="24"/>
          <w:szCs w:val="24"/>
        </w:rPr>
      </w:pPr>
    </w:p>
    <w:p w:rsidR="003541B0" w:rsidRPr="00871465" w:rsidRDefault="007C0A48" w:rsidP="00871465">
      <w:pPr>
        <w:jc w:val="both"/>
        <w:rPr>
          <w:rFonts w:ascii="Arial" w:hAnsi="Arial" w:cs="Arial"/>
          <w:sz w:val="24"/>
          <w:szCs w:val="24"/>
        </w:rPr>
      </w:pPr>
      <w:r>
        <w:rPr>
          <w:rFonts w:ascii="Arial" w:hAnsi="Arial" w:cs="Arial"/>
          <w:b/>
          <w:sz w:val="24"/>
          <w:szCs w:val="24"/>
        </w:rPr>
        <w:t>Tipología</w:t>
      </w:r>
      <w:r w:rsidR="003541B0" w:rsidRPr="00871465">
        <w:rPr>
          <w:rFonts w:ascii="Arial" w:hAnsi="Arial" w:cs="Arial"/>
          <w:b/>
          <w:sz w:val="24"/>
          <w:szCs w:val="24"/>
        </w:rPr>
        <w:t xml:space="preserve"> de los negocios fiduciarios</w:t>
      </w:r>
      <w:r w:rsidR="003541B0" w:rsidRPr="00871465">
        <w:rPr>
          <w:rFonts w:ascii="Arial" w:hAnsi="Arial" w:cs="Arial"/>
          <w:sz w:val="24"/>
          <w:szCs w:val="24"/>
        </w:rPr>
        <w:t>, se define brevemente a continuación cada uno de ellos:</w:t>
      </w:r>
    </w:p>
    <w:p w:rsidR="00871465" w:rsidRPr="005C0FAB" w:rsidRDefault="003541B0" w:rsidP="00871465">
      <w:pPr>
        <w:pStyle w:val="Prrafodelista"/>
        <w:numPr>
          <w:ilvl w:val="0"/>
          <w:numId w:val="3"/>
        </w:numPr>
        <w:spacing w:after="0" w:line="240" w:lineRule="auto"/>
        <w:jc w:val="both"/>
        <w:rPr>
          <w:rFonts w:ascii="Arial" w:hAnsi="Arial" w:cs="Arial"/>
          <w:b/>
          <w:bCs/>
          <w:sz w:val="24"/>
          <w:szCs w:val="24"/>
          <w:lang w:val="es-MX"/>
        </w:rPr>
      </w:pPr>
      <w:r w:rsidRPr="005C0FAB">
        <w:rPr>
          <w:rFonts w:ascii="Arial" w:hAnsi="Arial" w:cs="Arial"/>
          <w:b/>
          <w:bCs/>
          <w:sz w:val="24"/>
          <w:szCs w:val="24"/>
          <w:lang w:val="es-MX"/>
        </w:rPr>
        <w:t>Fiducia de Inversión</w:t>
      </w:r>
      <w:r w:rsidR="00871465" w:rsidRPr="005C0FAB">
        <w:rPr>
          <w:rFonts w:ascii="Arial" w:hAnsi="Arial" w:cs="Arial"/>
          <w:b/>
          <w:bCs/>
          <w:sz w:val="24"/>
          <w:szCs w:val="24"/>
          <w:lang w:val="es-MX"/>
        </w:rPr>
        <w:t xml:space="preserve">. </w:t>
      </w:r>
      <w:r w:rsidRPr="005C0FAB">
        <w:rPr>
          <w:rFonts w:ascii="Arial" w:hAnsi="Arial" w:cs="Arial"/>
          <w:sz w:val="24"/>
          <w:szCs w:val="24"/>
        </w:rPr>
        <w:t xml:space="preserve">Es todo negocio que celebren las sociedades fiduciarias con sus clientes, para beneficio de estos o de los terceros designados por ellos, en el cual se consagre como finalidad principal o se prevea la posibilidad de invertir o colocar a cualquier título sumas de dinero, de conformidad con las instrucciones impartidas por el constituyente o fideicomitente” (EOSF., art 29, num.2°). </w:t>
      </w:r>
    </w:p>
    <w:p w:rsidR="005C0FAB" w:rsidRPr="005C0FAB" w:rsidRDefault="005C0FAB" w:rsidP="005C0FAB">
      <w:pPr>
        <w:pStyle w:val="Prrafodelista"/>
        <w:spacing w:after="0" w:line="240" w:lineRule="auto"/>
        <w:jc w:val="both"/>
        <w:rPr>
          <w:rFonts w:ascii="Arial" w:hAnsi="Arial" w:cs="Arial"/>
          <w:b/>
          <w:bCs/>
          <w:sz w:val="24"/>
          <w:szCs w:val="24"/>
          <w:lang w:val="es-MX"/>
        </w:rPr>
      </w:pPr>
    </w:p>
    <w:p w:rsidR="005C0FAB" w:rsidRDefault="003541B0" w:rsidP="005C0FAB">
      <w:pPr>
        <w:jc w:val="both"/>
        <w:rPr>
          <w:rFonts w:ascii="Arial" w:hAnsi="Arial" w:cs="Arial"/>
          <w:sz w:val="24"/>
          <w:szCs w:val="24"/>
        </w:rPr>
      </w:pPr>
      <w:r w:rsidRPr="00871465">
        <w:rPr>
          <w:rFonts w:ascii="Arial" w:hAnsi="Arial" w:cs="Arial"/>
          <w:sz w:val="24"/>
          <w:szCs w:val="24"/>
        </w:rPr>
        <w:t>Puede tener las siguientes modalidad</w:t>
      </w:r>
      <w:r w:rsidR="005C0FAB">
        <w:rPr>
          <w:rFonts w:ascii="Arial" w:hAnsi="Arial" w:cs="Arial"/>
          <w:sz w:val="24"/>
          <w:szCs w:val="24"/>
        </w:rPr>
        <w:t>es:</w:t>
      </w:r>
    </w:p>
    <w:p w:rsidR="005C0FAB" w:rsidRPr="005C0FAB" w:rsidRDefault="005C0FAB" w:rsidP="005C0FAB">
      <w:pPr>
        <w:pStyle w:val="Prrafodelista"/>
        <w:numPr>
          <w:ilvl w:val="1"/>
          <w:numId w:val="3"/>
        </w:numPr>
        <w:jc w:val="both"/>
        <w:rPr>
          <w:rFonts w:ascii="Arial" w:hAnsi="Arial" w:cs="Arial"/>
          <w:sz w:val="24"/>
          <w:szCs w:val="24"/>
        </w:rPr>
      </w:pPr>
      <w:r>
        <w:rPr>
          <w:rFonts w:ascii="Arial" w:hAnsi="Arial" w:cs="Arial"/>
          <w:b/>
          <w:bCs/>
          <w:sz w:val="24"/>
          <w:szCs w:val="24"/>
          <w:lang w:val="es-MX"/>
        </w:rPr>
        <w:t xml:space="preserve"> </w:t>
      </w:r>
      <w:r w:rsidR="003541B0" w:rsidRPr="005C0FAB">
        <w:rPr>
          <w:rFonts w:ascii="Arial" w:hAnsi="Arial" w:cs="Arial"/>
          <w:b/>
          <w:bCs/>
          <w:sz w:val="24"/>
          <w:szCs w:val="24"/>
          <w:lang w:val="es-MX"/>
        </w:rPr>
        <w:t>Fideicomisos de inversión con destinación específica</w:t>
      </w:r>
      <w:r w:rsidR="003541B0" w:rsidRPr="005C0FAB">
        <w:rPr>
          <w:rFonts w:ascii="Arial" w:hAnsi="Arial" w:cs="Arial"/>
          <w:sz w:val="24"/>
          <w:szCs w:val="24"/>
          <w:lang w:val="es-MX"/>
        </w:rPr>
        <w:t xml:space="preserve">: </w:t>
      </w:r>
      <w:r w:rsidR="003541B0" w:rsidRPr="005C0FAB">
        <w:rPr>
          <w:rFonts w:ascii="Arial" w:hAnsi="Arial" w:cs="Arial"/>
          <w:sz w:val="24"/>
          <w:szCs w:val="24"/>
        </w:rPr>
        <w:t>La finalidad es la inversión o colocación a cualquier título de sumas de dinero, de acuerdo con las instrucciones impartidas por el constituyente o fideicomitente</w:t>
      </w:r>
    </w:p>
    <w:p w:rsidR="005C0FAB" w:rsidRPr="005C0FAB" w:rsidRDefault="005C0FAB" w:rsidP="005C0FAB">
      <w:pPr>
        <w:pStyle w:val="Prrafodelista"/>
        <w:jc w:val="both"/>
        <w:rPr>
          <w:rFonts w:ascii="Arial" w:hAnsi="Arial" w:cs="Arial"/>
          <w:sz w:val="24"/>
          <w:szCs w:val="24"/>
        </w:rPr>
      </w:pPr>
    </w:p>
    <w:p w:rsidR="003541B0" w:rsidRPr="005C0FAB" w:rsidRDefault="005C0FAB" w:rsidP="005C0FAB">
      <w:pPr>
        <w:pStyle w:val="Prrafodelista"/>
        <w:numPr>
          <w:ilvl w:val="1"/>
          <w:numId w:val="3"/>
        </w:numPr>
        <w:jc w:val="both"/>
        <w:rPr>
          <w:rFonts w:ascii="Arial" w:hAnsi="Arial" w:cs="Arial"/>
          <w:sz w:val="24"/>
          <w:szCs w:val="24"/>
        </w:rPr>
      </w:pPr>
      <w:r>
        <w:rPr>
          <w:rFonts w:ascii="Arial" w:hAnsi="Arial" w:cs="Arial"/>
          <w:b/>
          <w:bCs/>
          <w:sz w:val="24"/>
          <w:szCs w:val="24"/>
          <w:lang w:val="es-MX"/>
        </w:rPr>
        <w:t xml:space="preserve"> </w:t>
      </w:r>
      <w:r w:rsidR="003541B0" w:rsidRPr="005C0FAB">
        <w:rPr>
          <w:rFonts w:ascii="Arial" w:hAnsi="Arial" w:cs="Arial"/>
          <w:b/>
          <w:bCs/>
          <w:sz w:val="24"/>
          <w:szCs w:val="24"/>
          <w:lang w:val="es-MX"/>
        </w:rPr>
        <w:t>Administración de inversiones de fondos mutuos de inversión</w:t>
      </w:r>
      <w:r w:rsidR="003541B0" w:rsidRPr="005C0FAB">
        <w:rPr>
          <w:rFonts w:ascii="Arial" w:hAnsi="Arial" w:cs="Arial"/>
          <w:sz w:val="24"/>
          <w:szCs w:val="24"/>
          <w:lang w:val="es-MX"/>
        </w:rPr>
        <w:t xml:space="preserve">: </w:t>
      </w:r>
      <w:r w:rsidR="003541B0" w:rsidRPr="005C0FAB">
        <w:rPr>
          <w:rFonts w:ascii="Arial" w:hAnsi="Arial" w:cs="Arial"/>
          <w:sz w:val="24"/>
          <w:szCs w:val="24"/>
        </w:rPr>
        <w:t>Negocio fiduciario mediante el cual los fondos mutuos de inversión encomiendan a una fiduciaria la administración del respectivo fondo, o la administración total o parcial de los activos que lo integran</w:t>
      </w:r>
      <w:r w:rsidR="003541B0" w:rsidRPr="005C0FAB">
        <w:rPr>
          <w:rFonts w:ascii="Arial" w:hAnsi="Arial" w:cs="Arial"/>
          <w:sz w:val="24"/>
          <w:szCs w:val="24"/>
          <w:lang w:val="es-MX"/>
        </w:rPr>
        <w:t>.</w:t>
      </w:r>
    </w:p>
    <w:p w:rsidR="003541B0" w:rsidRPr="00871465" w:rsidRDefault="003541B0" w:rsidP="00871465">
      <w:pPr>
        <w:pStyle w:val="Prrafodelista"/>
        <w:jc w:val="both"/>
        <w:rPr>
          <w:rFonts w:ascii="Arial" w:hAnsi="Arial" w:cs="Arial"/>
          <w:sz w:val="24"/>
          <w:szCs w:val="24"/>
          <w:lang w:val="es-MX"/>
        </w:rPr>
      </w:pPr>
    </w:p>
    <w:p w:rsidR="003541B0" w:rsidRPr="005C0FAB" w:rsidRDefault="003541B0" w:rsidP="005C0FAB">
      <w:pPr>
        <w:pStyle w:val="Prrafodelista"/>
        <w:numPr>
          <w:ilvl w:val="0"/>
          <w:numId w:val="3"/>
        </w:numPr>
        <w:spacing w:after="0" w:line="240" w:lineRule="auto"/>
        <w:jc w:val="both"/>
        <w:rPr>
          <w:rFonts w:ascii="Arial" w:hAnsi="Arial" w:cs="Arial"/>
          <w:b/>
          <w:bCs/>
          <w:sz w:val="24"/>
          <w:szCs w:val="24"/>
          <w:lang w:val="es-MX"/>
        </w:rPr>
      </w:pPr>
      <w:r w:rsidRPr="005C0FAB">
        <w:rPr>
          <w:rFonts w:ascii="Arial" w:hAnsi="Arial" w:cs="Arial"/>
          <w:b/>
          <w:bCs/>
          <w:sz w:val="24"/>
          <w:szCs w:val="24"/>
          <w:lang w:val="es-MX"/>
        </w:rPr>
        <w:t>Fiducia Inmobiliaria</w:t>
      </w:r>
      <w:r w:rsidR="005C0FAB" w:rsidRPr="005C0FAB">
        <w:rPr>
          <w:rFonts w:ascii="Arial" w:hAnsi="Arial" w:cs="Arial"/>
          <w:b/>
          <w:bCs/>
          <w:sz w:val="24"/>
          <w:szCs w:val="24"/>
          <w:lang w:val="es-MX"/>
        </w:rPr>
        <w:t xml:space="preserve">. </w:t>
      </w:r>
      <w:r w:rsidRPr="005C0FAB">
        <w:rPr>
          <w:rFonts w:ascii="Arial" w:hAnsi="Arial" w:cs="Arial"/>
          <w:sz w:val="24"/>
          <w:szCs w:val="24"/>
        </w:rPr>
        <w:t>Es el negocio fiduciario que, en términos generales, tiene como finalidad la administración de recursos y bienes afectos a un proyecto inmobiliario o a la administración de los recursos asociados al desarrollo y ejecución de dicho proyecto, de acuerdo con las instrucciones señaladas en el contrato.” (Circ. Básica Jurídica. Superfinanciera. Tít. V, Cap. Primero, núm. 8°).</w:t>
      </w:r>
    </w:p>
    <w:p w:rsidR="005C0FAB" w:rsidRPr="005C0FAB" w:rsidRDefault="005C0FAB" w:rsidP="005C0FAB">
      <w:pPr>
        <w:pStyle w:val="Prrafodelista"/>
        <w:spacing w:after="0" w:line="240" w:lineRule="auto"/>
        <w:jc w:val="both"/>
        <w:rPr>
          <w:rFonts w:ascii="Arial" w:hAnsi="Arial" w:cs="Arial"/>
          <w:b/>
          <w:bCs/>
          <w:sz w:val="24"/>
          <w:szCs w:val="24"/>
          <w:lang w:val="es-MX"/>
        </w:rPr>
      </w:pPr>
    </w:p>
    <w:p w:rsidR="003541B0" w:rsidRPr="005C0FAB" w:rsidRDefault="003541B0" w:rsidP="005C0FAB">
      <w:pPr>
        <w:jc w:val="both"/>
        <w:rPr>
          <w:rFonts w:ascii="Arial" w:hAnsi="Arial" w:cs="Arial"/>
          <w:sz w:val="24"/>
          <w:szCs w:val="24"/>
        </w:rPr>
      </w:pPr>
      <w:r w:rsidRPr="005C0FAB">
        <w:rPr>
          <w:rFonts w:ascii="Arial" w:hAnsi="Arial" w:cs="Arial"/>
          <w:sz w:val="24"/>
          <w:szCs w:val="24"/>
        </w:rPr>
        <w:t>Puede tener las siguientes modalidades:</w:t>
      </w:r>
    </w:p>
    <w:p w:rsidR="003541B0" w:rsidRDefault="003541B0" w:rsidP="005C0FAB">
      <w:pPr>
        <w:pStyle w:val="Prrafodelista"/>
        <w:numPr>
          <w:ilvl w:val="1"/>
          <w:numId w:val="3"/>
        </w:numPr>
        <w:spacing w:after="0" w:line="240" w:lineRule="auto"/>
        <w:jc w:val="both"/>
        <w:rPr>
          <w:rFonts w:ascii="Arial" w:hAnsi="Arial" w:cs="Arial"/>
          <w:sz w:val="24"/>
          <w:szCs w:val="24"/>
        </w:rPr>
      </w:pPr>
      <w:r w:rsidRPr="005C0FAB">
        <w:rPr>
          <w:rFonts w:ascii="Arial" w:hAnsi="Arial" w:cs="Arial"/>
          <w:b/>
          <w:bCs/>
          <w:sz w:val="24"/>
          <w:szCs w:val="24"/>
          <w:lang w:val="es-MX"/>
        </w:rPr>
        <w:t>De administración y pagos</w:t>
      </w:r>
      <w:r w:rsidRPr="005C0FAB">
        <w:rPr>
          <w:rFonts w:ascii="Arial" w:hAnsi="Arial" w:cs="Arial"/>
          <w:sz w:val="24"/>
          <w:szCs w:val="24"/>
          <w:lang w:val="es-MX"/>
        </w:rPr>
        <w:t xml:space="preserve">: </w:t>
      </w:r>
      <w:r w:rsidRPr="005C0FAB">
        <w:rPr>
          <w:rFonts w:ascii="Arial" w:hAnsi="Arial" w:cs="Arial"/>
          <w:sz w:val="24"/>
          <w:szCs w:val="24"/>
        </w:rPr>
        <w:t>Tiene como finalidad la administración de un proyecto inmobiliario, efectuando los pagos asociados a su desarrollo de acuerdo con las instrucciones señaladas en el acto constitutivo y transfiere las unidades construidas a quienes resulten beneficiados del respectivo contrato.</w:t>
      </w:r>
    </w:p>
    <w:p w:rsidR="005C0FAB" w:rsidRPr="005C0FAB" w:rsidRDefault="005C0FAB" w:rsidP="005C0FAB">
      <w:pPr>
        <w:pStyle w:val="Prrafodelista"/>
        <w:spacing w:after="0" w:line="240" w:lineRule="auto"/>
        <w:jc w:val="both"/>
        <w:rPr>
          <w:rFonts w:ascii="Arial" w:hAnsi="Arial" w:cs="Arial"/>
          <w:sz w:val="24"/>
          <w:szCs w:val="24"/>
        </w:rPr>
      </w:pPr>
    </w:p>
    <w:p w:rsidR="003541B0" w:rsidRPr="005C0FAB" w:rsidRDefault="003541B0" w:rsidP="005C0FAB">
      <w:pPr>
        <w:pStyle w:val="Prrafodelista"/>
        <w:numPr>
          <w:ilvl w:val="1"/>
          <w:numId w:val="3"/>
        </w:numPr>
        <w:spacing w:after="0" w:line="240" w:lineRule="auto"/>
        <w:jc w:val="both"/>
        <w:rPr>
          <w:rFonts w:ascii="Arial" w:hAnsi="Arial" w:cs="Arial"/>
          <w:sz w:val="24"/>
          <w:szCs w:val="24"/>
        </w:rPr>
      </w:pPr>
      <w:r w:rsidRPr="005C0FAB">
        <w:rPr>
          <w:rFonts w:ascii="Arial" w:hAnsi="Arial" w:cs="Arial"/>
          <w:b/>
          <w:bCs/>
          <w:sz w:val="24"/>
          <w:szCs w:val="24"/>
          <w:lang w:val="es-MX"/>
        </w:rPr>
        <w:t>De Tesorería</w:t>
      </w:r>
      <w:r w:rsidRPr="005C0FAB">
        <w:rPr>
          <w:rFonts w:ascii="Arial" w:hAnsi="Arial" w:cs="Arial"/>
          <w:sz w:val="24"/>
          <w:szCs w:val="24"/>
          <w:lang w:val="es-MX"/>
        </w:rPr>
        <w:t xml:space="preserve">: </w:t>
      </w:r>
      <w:r w:rsidRPr="005C0FAB">
        <w:rPr>
          <w:rFonts w:ascii="Arial" w:hAnsi="Arial" w:cs="Arial"/>
          <w:sz w:val="24"/>
          <w:szCs w:val="24"/>
        </w:rPr>
        <w:t>Tiene como finalidad principal encomendar a la sociedad fiduciaria la inversión y administración de los recursos en efectivo destinados a la ejecución de un proyecto inmobiliario</w:t>
      </w:r>
      <w:r w:rsidRPr="005C0FAB">
        <w:rPr>
          <w:rFonts w:ascii="Arial" w:hAnsi="Arial" w:cs="Arial"/>
          <w:sz w:val="24"/>
          <w:szCs w:val="24"/>
          <w:lang w:val="es-MX"/>
        </w:rPr>
        <w:t>.</w:t>
      </w:r>
    </w:p>
    <w:p w:rsidR="005C0FAB" w:rsidRPr="005C0FAB" w:rsidRDefault="005C0FAB" w:rsidP="005C0FAB">
      <w:pPr>
        <w:pStyle w:val="Prrafodelista"/>
        <w:rPr>
          <w:rFonts w:ascii="Arial" w:hAnsi="Arial" w:cs="Arial"/>
          <w:sz w:val="24"/>
          <w:szCs w:val="24"/>
        </w:rPr>
      </w:pPr>
    </w:p>
    <w:p w:rsidR="003541B0" w:rsidRPr="005C0FAB" w:rsidRDefault="005C0FAB" w:rsidP="005C0FAB">
      <w:pPr>
        <w:pStyle w:val="Prrafodelista"/>
        <w:numPr>
          <w:ilvl w:val="1"/>
          <w:numId w:val="3"/>
        </w:numPr>
        <w:spacing w:after="0" w:line="240" w:lineRule="auto"/>
        <w:jc w:val="both"/>
        <w:rPr>
          <w:rFonts w:ascii="Arial" w:hAnsi="Arial" w:cs="Arial"/>
          <w:sz w:val="24"/>
          <w:szCs w:val="24"/>
        </w:rPr>
      </w:pPr>
      <w:r>
        <w:rPr>
          <w:rFonts w:ascii="Arial" w:hAnsi="Arial" w:cs="Arial"/>
          <w:b/>
          <w:bCs/>
          <w:sz w:val="24"/>
          <w:szCs w:val="24"/>
        </w:rPr>
        <w:t xml:space="preserve"> </w:t>
      </w:r>
      <w:r w:rsidR="003541B0" w:rsidRPr="005C0FAB">
        <w:rPr>
          <w:rFonts w:ascii="Arial" w:hAnsi="Arial" w:cs="Arial"/>
          <w:b/>
          <w:bCs/>
          <w:sz w:val="24"/>
          <w:szCs w:val="24"/>
          <w:lang w:val="es-MX"/>
        </w:rPr>
        <w:t>De preventas</w:t>
      </w:r>
      <w:r w:rsidR="003541B0" w:rsidRPr="005C0FAB">
        <w:rPr>
          <w:rFonts w:ascii="Arial" w:hAnsi="Arial" w:cs="Arial"/>
          <w:sz w:val="24"/>
          <w:szCs w:val="24"/>
          <w:lang w:val="es-MX"/>
        </w:rPr>
        <w:t xml:space="preserve">: </w:t>
      </w:r>
      <w:r w:rsidR="003541B0" w:rsidRPr="005C0FAB">
        <w:rPr>
          <w:rFonts w:ascii="Arial" w:hAnsi="Arial" w:cs="Arial"/>
          <w:sz w:val="24"/>
          <w:szCs w:val="24"/>
        </w:rPr>
        <w:t>La obligación principal de la sociedad fiduciaria es efectuar el recaudo de los dineros provenientes de la promoción y consecución de interesados en adquirir inmuebles dentro de un proyecto inmobiliario.</w:t>
      </w:r>
    </w:p>
    <w:p w:rsidR="003541B0" w:rsidRPr="005C0FAB" w:rsidRDefault="003541B0" w:rsidP="005C0FAB">
      <w:pPr>
        <w:spacing w:after="0" w:line="240" w:lineRule="auto"/>
        <w:ind w:left="1701"/>
        <w:jc w:val="both"/>
        <w:rPr>
          <w:rFonts w:ascii="Arial" w:hAnsi="Arial" w:cs="Arial"/>
          <w:sz w:val="24"/>
          <w:szCs w:val="24"/>
        </w:rPr>
      </w:pPr>
    </w:p>
    <w:p w:rsidR="005C0FAB" w:rsidRPr="00820CA9" w:rsidRDefault="003541B0" w:rsidP="005C0FAB">
      <w:pPr>
        <w:pStyle w:val="Prrafodelista"/>
        <w:numPr>
          <w:ilvl w:val="0"/>
          <w:numId w:val="3"/>
        </w:numPr>
        <w:spacing w:after="0" w:line="240" w:lineRule="auto"/>
        <w:jc w:val="both"/>
        <w:rPr>
          <w:rFonts w:ascii="Arial" w:hAnsi="Arial" w:cs="Arial"/>
          <w:b/>
          <w:bCs/>
          <w:sz w:val="24"/>
          <w:szCs w:val="24"/>
          <w:lang w:val="es-MX"/>
        </w:rPr>
      </w:pPr>
      <w:r w:rsidRPr="005C0FAB">
        <w:rPr>
          <w:rFonts w:ascii="Arial" w:hAnsi="Arial" w:cs="Arial"/>
          <w:b/>
          <w:bCs/>
          <w:sz w:val="24"/>
          <w:szCs w:val="24"/>
          <w:lang w:val="es-MX"/>
        </w:rPr>
        <w:t>Fiducia de Administración</w:t>
      </w:r>
      <w:r w:rsidR="005C0FAB">
        <w:rPr>
          <w:rFonts w:ascii="Arial" w:hAnsi="Arial" w:cs="Arial"/>
          <w:b/>
          <w:bCs/>
          <w:sz w:val="24"/>
          <w:szCs w:val="24"/>
          <w:lang w:val="es-MX"/>
        </w:rPr>
        <w:t xml:space="preserve">. </w:t>
      </w:r>
      <w:r w:rsidRPr="005C0FAB">
        <w:rPr>
          <w:rFonts w:ascii="Arial" w:hAnsi="Arial" w:cs="Arial"/>
          <w:sz w:val="24"/>
          <w:szCs w:val="24"/>
        </w:rPr>
        <w:t>Es el negocio en virtud del cual se entregan bienes a una sociedad fiduciaria, transfiriendo o no su propiedad, para que administre y desarrolle la gestión encomendada por el constituyente, destinando los bienes fideicomitidos, junto con sus respectivos rendimientos, si los hay, al cumplimiento de la finalidad señalada.” (Circ. Básica Jurídica. Superfinanciera. Tít. V, Cap. Primero, núm. 8°).</w:t>
      </w:r>
    </w:p>
    <w:p w:rsidR="00820CA9" w:rsidRPr="00820CA9" w:rsidRDefault="00820CA9" w:rsidP="00820CA9">
      <w:pPr>
        <w:pStyle w:val="Prrafodelista"/>
        <w:spacing w:after="0" w:line="240" w:lineRule="auto"/>
        <w:jc w:val="both"/>
        <w:rPr>
          <w:rFonts w:ascii="Arial" w:hAnsi="Arial" w:cs="Arial"/>
          <w:b/>
          <w:bCs/>
          <w:sz w:val="24"/>
          <w:szCs w:val="24"/>
          <w:lang w:val="es-MX"/>
        </w:rPr>
      </w:pPr>
    </w:p>
    <w:p w:rsidR="00820CA9" w:rsidRDefault="003541B0" w:rsidP="007C0A48">
      <w:pPr>
        <w:jc w:val="both"/>
        <w:rPr>
          <w:rFonts w:ascii="Arial" w:hAnsi="Arial" w:cs="Arial"/>
          <w:sz w:val="24"/>
          <w:szCs w:val="24"/>
        </w:rPr>
      </w:pPr>
      <w:r w:rsidRPr="005C0FAB">
        <w:rPr>
          <w:rFonts w:ascii="Arial" w:hAnsi="Arial" w:cs="Arial"/>
          <w:sz w:val="24"/>
          <w:szCs w:val="24"/>
        </w:rPr>
        <w:t>Puede tener las siguientes modalidades:</w:t>
      </w:r>
    </w:p>
    <w:p w:rsidR="007C0A48"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Administración y pagos</w:t>
      </w:r>
      <w:r w:rsidRPr="00820CA9">
        <w:rPr>
          <w:rFonts w:ascii="Arial" w:hAnsi="Arial" w:cs="Arial"/>
          <w:sz w:val="24"/>
          <w:szCs w:val="24"/>
        </w:rPr>
        <w:t xml:space="preserve">: Tiene como finalidad la administración de sumas de dinero o de otros bienes que junto con sus rendimientos, si los hay, </w:t>
      </w:r>
      <w:r w:rsidRPr="00820CA9">
        <w:rPr>
          <w:rFonts w:ascii="Arial" w:hAnsi="Arial" w:cs="Arial"/>
          <w:sz w:val="24"/>
          <w:szCs w:val="24"/>
        </w:rPr>
        <w:lastRenderedPageBreak/>
        <w:t>pueden ser destinados al cumplimiento de las obligaciones que el fideicomitente</w:t>
      </w:r>
      <w:r w:rsidR="007C0A48" w:rsidRPr="00820CA9">
        <w:rPr>
          <w:rFonts w:ascii="Arial" w:hAnsi="Arial" w:cs="Arial"/>
          <w:sz w:val="24"/>
          <w:szCs w:val="24"/>
        </w:rPr>
        <w:t xml:space="preserve"> señale</w:t>
      </w:r>
      <w:r w:rsidR="00820CA9">
        <w:rPr>
          <w:rFonts w:ascii="Arial" w:hAnsi="Arial" w:cs="Arial"/>
          <w:sz w:val="24"/>
          <w:szCs w:val="24"/>
        </w:rPr>
        <w:t>.</w:t>
      </w:r>
    </w:p>
    <w:p w:rsidR="00820CA9" w:rsidRDefault="00820CA9" w:rsidP="00820CA9">
      <w:pPr>
        <w:pStyle w:val="Prrafodelista"/>
        <w:jc w:val="both"/>
        <w:rPr>
          <w:rFonts w:ascii="Arial" w:hAnsi="Arial" w:cs="Arial"/>
          <w:sz w:val="24"/>
          <w:szCs w:val="24"/>
        </w:rPr>
      </w:pPr>
    </w:p>
    <w:p w:rsidR="003541B0" w:rsidRDefault="003541B0" w:rsidP="007C0A48">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 xml:space="preserve">Administración de procesos de titularización: </w:t>
      </w:r>
      <w:r w:rsidRPr="00820CA9">
        <w:rPr>
          <w:rFonts w:ascii="Arial" w:hAnsi="Arial" w:cs="Arial"/>
          <w:sz w:val="24"/>
          <w:szCs w:val="24"/>
        </w:rPr>
        <w:t>Tiene por objeto la emisión y/o administración de una emisión de valores emanados de un proceso de titularización de activos y bienes.</w:t>
      </w:r>
    </w:p>
    <w:p w:rsidR="00820CA9" w:rsidRDefault="00820CA9" w:rsidP="00820CA9">
      <w:pPr>
        <w:pStyle w:val="Prrafodelista"/>
        <w:jc w:val="both"/>
        <w:rPr>
          <w:rFonts w:ascii="Arial" w:hAnsi="Arial" w:cs="Arial"/>
          <w:sz w:val="24"/>
          <w:szCs w:val="24"/>
        </w:rPr>
      </w:pPr>
    </w:p>
    <w:p w:rsidR="003541B0"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 xml:space="preserve">Administración de cartera: </w:t>
      </w:r>
      <w:r w:rsidRPr="00820CA9">
        <w:rPr>
          <w:rFonts w:ascii="Arial" w:hAnsi="Arial" w:cs="Arial"/>
          <w:sz w:val="24"/>
          <w:szCs w:val="24"/>
        </w:rPr>
        <w:t>Tiene como finalidad la administración de carteras productivas e improductivas.</w:t>
      </w:r>
    </w:p>
    <w:p w:rsidR="00820CA9" w:rsidRDefault="00820CA9" w:rsidP="00820CA9">
      <w:pPr>
        <w:pStyle w:val="Prrafodelista"/>
        <w:jc w:val="both"/>
        <w:rPr>
          <w:rFonts w:ascii="Arial" w:hAnsi="Arial" w:cs="Arial"/>
          <w:sz w:val="24"/>
          <w:szCs w:val="24"/>
        </w:rPr>
      </w:pPr>
    </w:p>
    <w:p w:rsidR="003541B0" w:rsidRPr="00820CA9"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 xml:space="preserve">Administración de procesos concursales: </w:t>
      </w:r>
      <w:r w:rsidRPr="00820CA9">
        <w:rPr>
          <w:rFonts w:ascii="Arial" w:hAnsi="Arial" w:cs="Arial"/>
          <w:sz w:val="24"/>
          <w:szCs w:val="24"/>
          <w:lang w:val="es-MX"/>
        </w:rPr>
        <w:t>En este tipo de negocio fiduciario la fiduciaria actúa como agente liquidador o promotor de un proceso concursal administrando los recursos afectos a su finalidad.</w:t>
      </w:r>
    </w:p>
    <w:p w:rsidR="003541B0" w:rsidRPr="005C0FAB" w:rsidRDefault="003541B0" w:rsidP="005C0FAB">
      <w:pPr>
        <w:pStyle w:val="Prrafodelista"/>
        <w:ind w:left="1996"/>
        <w:jc w:val="both"/>
        <w:rPr>
          <w:rFonts w:ascii="Arial" w:hAnsi="Arial" w:cs="Arial"/>
          <w:b/>
          <w:bCs/>
          <w:sz w:val="24"/>
          <w:szCs w:val="24"/>
          <w:lang w:val="es-MX"/>
        </w:rPr>
      </w:pPr>
    </w:p>
    <w:p w:rsidR="00820CA9" w:rsidRPr="00E12F61" w:rsidRDefault="003541B0" w:rsidP="00820CA9">
      <w:pPr>
        <w:pStyle w:val="Prrafodelista"/>
        <w:numPr>
          <w:ilvl w:val="0"/>
          <w:numId w:val="3"/>
        </w:numPr>
        <w:spacing w:after="0" w:line="240" w:lineRule="auto"/>
        <w:jc w:val="both"/>
        <w:rPr>
          <w:rFonts w:ascii="Arial" w:hAnsi="Arial" w:cs="Arial"/>
          <w:b/>
          <w:bCs/>
          <w:sz w:val="24"/>
          <w:szCs w:val="24"/>
          <w:lang w:val="es-MX"/>
        </w:rPr>
      </w:pPr>
      <w:r w:rsidRPr="00820CA9">
        <w:rPr>
          <w:rFonts w:ascii="Arial" w:hAnsi="Arial" w:cs="Arial"/>
          <w:b/>
          <w:bCs/>
          <w:sz w:val="24"/>
          <w:szCs w:val="24"/>
          <w:lang w:val="es-MX"/>
        </w:rPr>
        <w:t xml:space="preserve"> Fiducia en Garantía</w:t>
      </w:r>
      <w:r w:rsidR="00820CA9">
        <w:rPr>
          <w:rFonts w:ascii="Arial" w:hAnsi="Arial" w:cs="Arial"/>
          <w:b/>
          <w:bCs/>
          <w:sz w:val="24"/>
          <w:szCs w:val="24"/>
          <w:lang w:val="es-MX"/>
        </w:rPr>
        <w:t xml:space="preserve">. </w:t>
      </w:r>
      <w:r w:rsidRPr="00820CA9">
        <w:rPr>
          <w:rFonts w:ascii="Arial" w:hAnsi="Arial" w:cs="Arial"/>
          <w:sz w:val="24"/>
          <w:szCs w:val="24"/>
        </w:rPr>
        <w:t>Es el negocio fiduciario que se constituye cuando una persona entrega o transfiere a la sociedad fiduciaria bienes o recursos, con la finalidad de garantizar el cumplimiento de obligaciones propias o de terceros.” Circ. Básica Jurídica. Superfinanciera. Tít. V, Cap. Primero, núm. 8°).</w:t>
      </w:r>
    </w:p>
    <w:p w:rsidR="00E12F61" w:rsidRPr="00E12F61" w:rsidRDefault="00E12F61" w:rsidP="00E12F61">
      <w:pPr>
        <w:pStyle w:val="Prrafodelista"/>
        <w:spacing w:after="0" w:line="240" w:lineRule="auto"/>
        <w:jc w:val="both"/>
        <w:rPr>
          <w:rFonts w:ascii="Arial" w:hAnsi="Arial" w:cs="Arial"/>
          <w:b/>
          <w:bCs/>
          <w:sz w:val="24"/>
          <w:szCs w:val="24"/>
          <w:lang w:val="es-MX"/>
        </w:rPr>
      </w:pPr>
    </w:p>
    <w:p w:rsidR="00820CA9" w:rsidRDefault="003541B0" w:rsidP="00820CA9">
      <w:pPr>
        <w:jc w:val="both"/>
        <w:rPr>
          <w:rFonts w:ascii="Arial" w:hAnsi="Arial" w:cs="Arial"/>
          <w:sz w:val="24"/>
          <w:szCs w:val="24"/>
        </w:rPr>
      </w:pPr>
      <w:r w:rsidRPr="005C0FAB">
        <w:rPr>
          <w:rFonts w:ascii="Arial" w:hAnsi="Arial" w:cs="Arial"/>
          <w:sz w:val="24"/>
          <w:szCs w:val="24"/>
        </w:rPr>
        <w:t>Puede tener las siguientes modalida</w:t>
      </w:r>
      <w:r w:rsidR="00820CA9">
        <w:rPr>
          <w:rFonts w:ascii="Arial" w:hAnsi="Arial" w:cs="Arial"/>
          <w:sz w:val="24"/>
          <w:szCs w:val="24"/>
        </w:rPr>
        <w:t>des-.</w:t>
      </w:r>
    </w:p>
    <w:p w:rsidR="003541B0" w:rsidRPr="00820CA9"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Fiducia en garantía propiamente dicha</w:t>
      </w:r>
      <w:r w:rsidRPr="00820CA9">
        <w:rPr>
          <w:rFonts w:ascii="Arial" w:hAnsi="Arial" w:cs="Arial"/>
          <w:sz w:val="24"/>
          <w:szCs w:val="24"/>
          <w:lang w:val="es-MX"/>
        </w:rPr>
        <w:t xml:space="preserve">: </w:t>
      </w:r>
      <w:r w:rsidRPr="00820CA9">
        <w:rPr>
          <w:rFonts w:ascii="Arial" w:hAnsi="Arial" w:cs="Arial"/>
          <w:sz w:val="24"/>
          <w:szCs w:val="24"/>
        </w:rPr>
        <w:t>Consiste en la transferencia irrevocable de la propiedad de uno o varios bienes a título de fiducia mercantil, con la finalidad de garantizar el cumplimiento de obligaciones propias del fideicomitente o de terceros, en favor de uno o varios acreedores, de conformidad con</w:t>
      </w:r>
      <w:r w:rsidRPr="00820CA9">
        <w:rPr>
          <w:rFonts w:ascii="Arial" w:hAnsi="Arial" w:cs="Arial"/>
          <w:sz w:val="24"/>
          <w:szCs w:val="24"/>
          <w:lang w:val="es-MX"/>
        </w:rPr>
        <w:t xml:space="preserve"> las instrucciones contenidas en el acto constitutivo.</w:t>
      </w:r>
    </w:p>
    <w:p w:rsidR="00820CA9" w:rsidRPr="00820CA9" w:rsidRDefault="00820CA9" w:rsidP="00820CA9">
      <w:pPr>
        <w:pStyle w:val="Prrafodelista"/>
        <w:jc w:val="both"/>
        <w:rPr>
          <w:rFonts w:ascii="Arial" w:hAnsi="Arial" w:cs="Arial"/>
          <w:sz w:val="24"/>
          <w:szCs w:val="24"/>
        </w:rPr>
      </w:pPr>
    </w:p>
    <w:p w:rsidR="00820CA9" w:rsidRPr="00820CA9" w:rsidRDefault="00820CA9" w:rsidP="00820CA9">
      <w:pPr>
        <w:pStyle w:val="Prrafodelista"/>
        <w:numPr>
          <w:ilvl w:val="1"/>
          <w:numId w:val="3"/>
        </w:numPr>
        <w:jc w:val="both"/>
        <w:rPr>
          <w:rFonts w:ascii="Arial" w:hAnsi="Arial" w:cs="Arial"/>
          <w:sz w:val="24"/>
          <w:szCs w:val="24"/>
        </w:rPr>
      </w:pPr>
      <w:r>
        <w:rPr>
          <w:rFonts w:ascii="Arial" w:hAnsi="Arial" w:cs="Arial"/>
          <w:b/>
          <w:bCs/>
          <w:sz w:val="24"/>
          <w:szCs w:val="24"/>
          <w:lang w:val="es-MX"/>
        </w:rPr>
        <w:t xml:space="preserve"> </w:t>
      </w:r>
      <w:r w:rsidR="003541B0" w:rsidRPr="00820CA9">
        <w:rPr>
          <w:rFonts w:ascii="Arial" w:hAnsi="Arial" w:cs="Arial"/>
          <w:b/>
          <w:bCs/>
          <w:sz w:val="24"/>
          <w:szCs w:val="24"/>
          <w:lang w:val="es-MX"/>
        </w:rPr>
        <w:t>Fiducia en garantía y fuente de pagos</w:t>
      </w:r>
      <w:r w:rsidR="003541B0" w:rsidRPr="00820CA9">
        <w:rPr>
          <w:rFonts w:ascii="Arial" w:hAnsi="Arial" w:cs="Arial"/>
          <w:sz w:val="24"/>
          <w:szCs w:val="24"/>
          <w:lang w:val="es-MX"/>
        </w:rPr>
        <w:t>: Es la transferencia a una sociedad fiduciaria de un flujo futuro de recursos y/o una cesión de derechos económicos a favor del fideicomitente, que se destinan a garantizar el cumplimiento de obligaciones o deudas especificadas por el fideicomitente.</w:t>
      </w:r>
    </w:p>
    <w:p w:rsidR="00820CA9" w:rsidRPr="00820CA9" w:rsidRDefault="00820CA9" w:rsidP="00820CA9">
      <w:pPr>
        <w:pStyle w:val="Prrafodelista"/>
        <w:rPr>
          <w:rFonts w:ascii="Arial" w:hAnsi="Arial" w:cs="Arial"/>
          <w:sz w:val="24"/>
          <w:szCs w:val="24"/>
        </w:rPr>
      </w:pPr>
    </w:p>
    <w:p w:rsidR="003541B0" w:rsidRPr="00820CA9" w:rsidRDefault="003541B0" w:rsidP="00820CA9">
      <w:pPr>
        <w:pStyle w:val="Prrafodelista"/>
        <w:numPr>
          <w:ilvl w:val="0"/>
          <w:numId w:val="3"/>
        </w:numPr>
        <w:spacing w:after="0" w:line="240" w:lineRule="auto"/>
        <w:jc w:val="both"/>
        <w:rPr>
          <w:rFonts w:ascii="Arial" w:hAnsi="Arial" w:cs="Arial"/>
          <w:b/>
          <w:bCs/>
          <w:sz w:val="24"/>
          <w:szCs w:val="24"/>
          <w:lang w:val="es-MX"/>
        </w:rPr>
      </w:pPr>
      <w:r w:rsidRPr="00820CA9">
        <w:rPr>
          <w:rFonts w:ascii="Arial" w:hAnsi="Arial" w:cs="Arial"/>
          <w:b/>
          <w:bCs/>
          <w:sz w:val="24"/>
          <w:szCs w:val="24"/>
          <w:lang w:val="es-MX"/>
        </w:rPr>
        <w:t>Fiducia con recursos del Sistema de Seguridad Social</w:t>
      </w:r>
      <w:r w:rsidR="00820CA9">
        <w:rPr>
          <w:rFonts w:ascii="Arial" w:hAnsi="Arial" w:cs="Arial"/>
          <w:b/>
          <w:bCs/>
          <w:sz w:val="24"/>
          <w:szCs w:val="24"/>
          <w:lang w:val="es-MX"/>
        </w:rPr>
        <w:t xml:space="preserve">. </w:t>
      </w:r>
      <w:r w:rsidRPr="00820CA9">
        <w:rPr>
          <w:rFonts w:ascii="Arial" w:hAnsi="Arial" w:cs="Arial"/>
          <w:sz w:val="24"/>
          <w:szCs w:val="24"/>
        </w:rPr>
        <w:t>Es el negocio fiduciario que, en términos generales, consiste en la entrega de sumas de dinero o bienes del sistema de seguridad social a una sociedad fiduciaria, transfiriendo o no su propiedad, para que ésta los administre y desarrolle la gestión encomendada por el constituyente.” Circ. Básica Jurídica. Superfinanciera. Tít. V, Cap. Primero, núm. 8°).</w:t>
      </w:r>
    </w:p>
    <w:p w:rsidR="00820CA9" w:rsidRDefault="00820CA9" w:rsidP="00820CA9">
      <w:pPr>
        <w:jc w:val="both"/>
        <w:rPr>
          <w:rFonts w:ascii="Arial" w:hAnsi="Arial" w:cs="Arial"/>
          <w:sz w:val="24"/>
          <w:szCs w:val="24"/>
        </w:rPr>
      </w:pPr>
    </w:p>
    <w:p w:rsidR="003541B0" w:rsidRPr="005C0FAB" w:rsidRDefault="003541B0" w:rsidP="00820CA9">
      <w:pPr>
        <w:jc w:val="both"/>
        <w:rPr>
          <w:rFonts w:ascii="Arial" w:hAnsi="Arial" w:cs="Arial"/>
          <w:sz w:val="24"/>
          <w:szCs w:val="24"/>
        </w:rPr>
      </w:pPr>
      <w:r w:rsidRPr="005C0FAB">
        <w:rPr>
          <w:rFonts w:ascii="Arial" w:hAnsi="Arial" w:cs="Arial"/>
          <w:sz w:val="24"/>
          <w:szCs w:val="24"/>
        </w:rPr>
        <w:t>Presenta las siguientes modalidades:</w:t>
      </w:r>
    </w:p>
    <w:p w:rsidR="003541B0"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Pasivos pensionales</w:t>
      </w:r>
      <w:r w:rsidRPr="00820CA9">
        <w:rPr>
          <w:rFonts w:ascii="Arial" w:hAnsi="Arial" w:cs="Arial"/>
          <w:sz w:val="24"/>
          <w:szCs w:val="24"/>
        </w:rPr>
        <w:t>: Tiene como finalidad la administración, inversión y constitución de reservas y garantías destinadas a la atención y/o normalización de pasivos pensionales.</w:t>
      </w:r>
    </w:p>
    <w:p w:rsidR="00820CA9" w:rsidRDefault="00820CA9" w:rsidP="00820CA9">
      <w:pPr>
        <w:pStyle w:val="Prrafodelista"/>
        <w:jc w:val="both"/>
        <w:rPr>
          <w:rFonts w:ascii="Arial" w:hAnsi="Arial" w:cs="Arial"/>
          <w:sz w:val="24"/>
          <w:szCs w:val="24"/>
        </w:rPr>
      </w:pPr>
    </w:p>
    <w:p w:rsidR="003541B0"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lang w:val="es-MX"/>
        </w:rPr>
        <w:t>Recursos de la Seguridad Social</w:t>
      </w:r>
      <w:r w:rsidRPr="00820CA9">
        <w:rPr>
          <w:rFonts w:ascii="Arial" w:hAnsi="Arial" w:cs="Arial"/>
          <w:sz w:val="24"/>
          <w:szCs w:val="24"/>
        </w:rPr>
        <w:t>: Tiene como finalidad la administración de recursos destinados al sistema de seguridad social en las áreas de salud y riesgos profesionales.</w:t>
      </w:r>
    </w:p>
    <w:p w:rsidR="00820CA9" w:rsidRPr="00820CA9" w:rsidRDefault="00820CA9" w:rsidP="00820CA9">
      <w:pPr>
        <w:pStyle w:val="Prrafodelista"/>
        <w:rPr>
          <w:rFonts w:ascii="Arial" w:hAnsi="Arial" w:cs="Arial"/>
          <w:sz w:val="24"/>
          <w:szCs w:val="24"/>
        </w:rPr>
      </w:pPr>
    </w:p>
    <w:p w:rsidR="003541B0" w:rsidRPr="00820CA9" w:rsidRDefault="003541B0" w:rsidP="00820CA9">
      <w:pPr>
        <w:pStyle w:val="Prrafodelista"/>
        <w:numPr>
          <w:ilvl w:val="0"/>
          <w:numId w:val="3"/>
        </w:numPr>
        <w:spacing w:after="0" w:line="240" w:lineRule="auto"/>
        <w:jc w:val="both"/>
        <w:rPr>
          <w:rFonts w:ascii="Arial" w:hAnsi="Arial" w:cs="Arial"/>
          <w:b/>
          <w:bCs/>
          <w:sz w:val="24"/>
          <w:szCs w:val="24"/>
          <w:lang w:val="es-MX"/>
        </w:rPr>
      </w:pPr>
      <w:r w:rsidRPr="00820CA9">
        <w:rPr>
          <w:rFonts w:ascii="Arial" w:hAnsi="Arial" w:cs="Arial"/>
          <w:b/>
          <w:bCs/>
          <w:sz w:val="24"/>
          <w:szCs w:val="24"/>
          <w:lang w:val="es-MX"/>
        </w:rPr>
        <w:lastRenderedPageBreak/>
        <w:t>Fondos de Inversión o Carteras Colectivas</w:t>
      </w:r>
      <w:r w:rsidR="00820CA9">
        <w:rPr>
          <w:rFonts w:ascii="Arial" w:hAnsi="Arial" w:cs="Arial"/>
          <w:b/>
          <w:bCs/>
          <w:sz w:val="24"/>
          <w:szCs w:val="24"/>
          <w:lang w:val="es-MX"/>
        </w:rPr>
        <w:t xml:space="preserve">. </w:t>
      </w:r>
      <w:r w:rsidRPr="00820CA9">
        <w:rPr>
          <w:rFonts w:ascii="Arial" w:hAnsi="Arial" w:cs="Arial"/>
          <w:sz w:val="24"/>
          <w:szCs w:val="24"/>
        </w:rPr>
        <w:t>Los fondos de inversión o carteras colectivas son los mecanismos de captación o administración de sumas de dinero u otros activos, integrados con el aporte de un número plural de personas.</w:t>
      </w:r>
      <w:r w:rsidR="00820CA9">
        <w:rPr>
          <w:rFonts w:ascii="Arial" w:hAnsi="Arial" w:cs="Arial"/>
          <w:sz w:val="24"/>
          <w:szCs w:val="24"/>
        </w:rPr>
        <w:t xml:space="preserve"> </w:t>
      </w:r>
      <w:r w:rsidRPr="00820CA9">
        <w:rPr>
          <w:rFonts w:ascii="Arial" w:hAnsi="Arial" w:cs="Arial"/>
          <w:sz w:val="24"/>
          <w:szCs w:val="24"/>
        </w:rPr>
        <w:t>Los recursos vinculados al fondo o cartera colectiva serán gestionados de manera colectiva para obtener resultados económicos también colectivos. (D. 2555/2.010).</w:t>
      </w:r>
    </w:p>
    <w:p w:rsidR="003541B0" w:rsidRPr="005C0FAB" w:rsidRDefault="003541B0" w:rsidP="005C0FAB">
      <w:pPr>
        <w:spacing w:after="0" w:line="240" w:lineRule="auto"/>
        <w:ind w:left="1276"/>
        <w:jc w:val="both"/>
        <w:rPr>
          <w:rFonts w:ascii="Arial" w:hAnsi="Arial" w:cs="Arial"/>
          <w:sz w:val="24"/>
          <w:szCs w:val="24"/>
        </w:rPr>
      </w:pPr>
    </w:p>
    <w:p w:rsidR="003541B0" w:rsidRPr="005C0FAB" w:rsidRDefault="003541B0" w:rsidP="00820CA9">
      <w:pPr>
        <w:jc w:val="both"/>
        <w:rPr>
          <w:rFonts w:ascii="Arial" w:hAnsi="Arial" w:cs="Arial"/>
          <w:sz w:val="24"/>
          <w:szCs w:val="24"/>
        </w:rPr>
      </w:pPr>
      <w:r w:rsidRPr="005C0FAB">
        <w:rPr>
          <w:rFonts w:ascii="Arial" w:hAnsi="Arial" w:cs="Arial"/>
          <w:sz w:val="24"/>
          <w:szCs w:val="24"/>
        </w:rPr>
        <w:t>Presenta las siguientes modalidades:</w:t>
      </w:r>
    </w:p>
    <w:p w:rsidR="003541B0" w:rsidRDefault="003541B0" w:rsidP="00820CA9">
      <w:pPr>
        <w:pStyle w:val="Prrafodelista"/>
        <w:numPr>
          <w:ilvl w:val="1"/>
          <w:numId w:val="3"/>
        </w:numPr>
        <w:jc w:val="both"/>
        <w:rPr>
          <w:rFonts w:ascii="Arial" w:hAnsi="Arial" w:cs="Arial"/>
          <w:sz w:val="24"/>
          <w:szCs w:val="24"/>
        </w:rPr>
      </w:pPr>
      <w:r w:rsidRPr="00820CA9">
        <w:rPr>
          <w:rFonts w:ascii="Arial" w:hAnsi="Arial" w:cs="Arial"/>
          <w:b/>
          <w:bCs/>
          <w:sz w:val="24"/>
          <w:szCs w:val="24"/>
        </w:rPr>
        <w:t>Fondo de Inversión Abierto</w:t>
      </w:r>
      <w:r w:rsidRPr="00820CA9">
        <w:rPr>
          <w:rFonts w:ascii="Arial" w:hAnsi="Arial" w:cs="Arial"/>
          <w:sz w:val="24"/>
          <w:szCs w:val="24"/>
        </w:rPr>
        <w:t>: Es aquel en el que la redención de las participaciones se puede hacer en cualquier momento.</w:t>
      </w:r>
    </w:p>
    <w:p w:rsidR="00E12F61" w:rsidRDefault="00E12F61" w:rsidP="00E12F61">
      <w:pPr>
        <w:pStyle w:val="Prrafodelista"/>
        <w:jc w:val="both"/>
        <w:rPr>
          <w:rFonts w:ascii="Arial" w:hAnsi="Arial" w:cs="Arial"/>
          <w:sz w:val="24"/>
          <w:szCs w:val="24"/>
        </w:rPr>
      </w:pPr>
    </w:p>
    <w:p w:rsidR="00E12F61" w:rsidRDefault="003541B0" w:rsidP="00E12F61">
      <w:pPr>
        <w:pStyle w:val="Prrafodelista"/>
        <w:numPr>
          <w:ilvl w:val="1"/>
          <w:numId w:val="3"/>
        </w:numPr>
        <w:jc w:val="both"/>
        <w:rPr>
          <w:rFonts w:ascii="Arial" w:hAnsi="Arial" w:cs="Arial"/>
          <w:sz w:val="24"/>
          <w:szCs w:val="24"/>
        </w:rPr>
      </w:pPr>
      <w:r w:rsidRPr="00E12F61">
        <w:rPr>
          <w:rFonts w:ascii="Arial" w:hAnsi="Arial" w:cs="Arial"/>
          <w:b/>
          <w:bCs/>
          <w:sz w:val="24"/>
          <w:szCs w:val="24"/>
        </w:rPr>
        <w:t>Fondo de Inversión Cerrado</w:t>
      </w:r>
      <w:r w:rsidRPr="00E12F61">
        <w:rPr>
          <w:rFonts w:ascii="Arial" w:hAnsi="Arial" w:cs="Arial"/>
          <w:sz w:val="24"/>
          <w:szCs w:val="24"/>
        </w:rPr>
        <w:t>: La redención de la totalidad de las participaciones sólo se puede realizar al final del plazo previsto.</w:t>
      </w:r>
    </w:p>
    <w:p w:rsidR="00E12F61" w:rsidRPr="00E12F61" w:rsidRDefault="00E12F61" w:rsidP="00E12F61">
      <w:pPr>
        <w:pStyle w:val="Prrafodelista"/>
        <w:rPr>
          <w:rFonts w:ascii="Arial" w:hAnsi="Arial" w:cs="Arial"/>
          <w:sz w:val="24"/>
          <w:szCs w:val="24"/>
        </w:rPr>
      </w:pPr>
    </w:p>
    <w:p w:rsidR="003541B0" w:rsidRPr="00E12F61" w:rsidRDefault="003541B0" w:rsidP="00820CA9">
      <w:pPr>
        <w:pStyle w:val="Prrafodelista"/>
        <w:numPr>
          <w:ilvl w:val="1"/>
          <w:numId w:val="3"/>
        </w:numPr>
        <w:jc w:val="both"/>
        <w:rPr>
          <w:rFonts w:ascii="Arial" w:hAnsi="Arial" w:cs="Arial"/>
          <w:sz w:val="24"/>
          <w:szCs w:val="24"/>
        </w:rPr>
      </w:pPr>
      <w:r w:rsidRPr="00E12F61">
        <w:rPr>
          <w:rFonts w:ascii="Arial" w:hAnsi="Arial" w:cs="Arial"/>
          <w:b/>
          <w:bCs/>
          <w:sz w:val="24"/>
          <w:szCs w:val="24"/>
        </w:rPr>
        <w:t>Fondo de Inversión Escalonado</w:t>
      </w:r>
      <w:r w:rsidRPr="00E12F61">
        <w:rPr>
          <w:rFonts w:ascii="Arial" w:hAnsi="Arial" w:cs="Arial"/>
          <w:sz w:val="24"/>
          <w:szCs w:val="24"/>
        </w:rPr>
        <w:t>: La redención de las participaciones sólo se puede realizar una vez transcurran los plazos que para el efecto se hayan determinado previamente en el reglamento.</w:t>
      </w:r>
    </w:p>
    <w:p w:rsidR="003541B0" w:rsidRPr="005C0FAB" w:rsidRDefault="003541B0" w:rsidP="005C0FAB">
      <w:pPr>
        <w:spacing w:after="0" w:line="240" w:lineRule="auto"/>
        <w:ind w:left="1276"/>
        <w:jc w:val="both"/>
        <w:rPr>
          <w:rFonts w:ascii="Arial" w:hAnsi="Arial" w:cs="Arial"/>
          <w:sz w:val="24"/>
          <w:szCs w:val="24"/>
        </w:rPr>
      </w:pPr>
    </w:p>
    <w:p w:rsidR="003541B0" w:rsidRPr="00E12F61" w:rsidRDefault="003541B0" w:rsidP="00E12F61">
      <w:pPr>
        <w:pStyle w:val="Prrafodelista"/>
        <w:numPr>
          <w:ilvl w:val="0"/>
          <w:numId w:val="3"/>
        </w:numPr>
        <w:spacing w:after="0" w:line="240" w:lineRule="auto"/>
        <w:jc w:val="both"/>
        <w:rPr>
          <w:rFonts w:ascii="Arial" w:hAnsi="Arial" w:cs="Arial"/>
          <w:b/>
          <w:bCs/>
          <w:sz w:val="24"/>
          <w:szCs w:val="24"/>
          <w:lang w:val="es-MX"/>
        </w:rPr>
      </w:pPr>
      <w:r w:rsidRPr="00E12F61">
        <w:rPr>
          <w:rFonts w:ascii="Arial" w:hAnsi="Arial" w:cs="Arial"/>
          <w:b/>
          <w:bCs/>
          <w:sz w:val="24"/>
          <w:szCs w:val="24"/>
          <w:lang w:val="es-MX"/>
        </w:rPr>
        <w:t>Fondos Cuenta</w:t>
      </w:r>
      <w:r w:rsidR="00E12F61">
        <w:rPr>
          <w:rFonts w:ascii="Arial" w:hAnsi="Arial" w:cs="Arial"/>
          <w:b/>
          <w:bCs/>
          <w:sz w:val="24"/>
          <w:szCs w:val="24"/>
          <w:lang w:val="es-MX"/>
        </w:rPr>
        <w:t xml:space="preserve">. </w:t>
      </w:r>
      <w:r w:rsidRPr="00E12F61">
        <w:rPr>
          <w:rFonts w:ascii="Arial" w:hAnsi="Arial" w:cs="Arial"/>
          <w:sz w:val="24"/>
          <w:szCs w:val="24"/>
        </w:rPr>
        <w:t xml:space="preserve">Son fondos especiales del Orden Nacional constituidos con los ingresos definidos en la ley para la prestación de un servicio público específico, así como los pertenecientes a fondos sin personería jurídica creados por el legislador (Ley 225/95, artículo </w:t>
      </w:r>
      <w:hyperlink r:id="rId7" w:anchor="27" w:tgtFrame="_blank" w:history="1">
        <w:r w:rsidRPr="00E12F61">
          <w:rPr>
            <w:rStyle w:val="Hipervnculo"/>
            <w:rFonts w:ascii="Arial" w:hAnsi="Arial" w:cs="Arial"/>
            <w:sz w:val="24"/>
            <w:szCs w:val="24"/>
          </w:rPr>
          <w:t>27</w:t>
        </w:r>
      </w:hyperlink>
      <w:r w:rsidRPr="00E12F61">
        <w:rPr>
          <w:rFonts w:ascii="Arial" w:hAnsi="Arial" w:cs="Arial"/>
          <w:sz w:val="24"/>
          <w:szCs w:val="24"/>
        </w:rPr>
        <w:t>).</w:t>
      </w:r>
    </w:p>
    <w:p w:rsidR="003541B0" w:rsidRPr="005C0FAB" w:rsidRDefault="003541B0" w:rsidP="005C0FAB">
      <w:pPr>
        <w:spacing w:after="0" w:line="240" w:lineRule="auto"/>
        <w:ind w:left="1276"/>
        <w:jc w:val="both"/>
        <w:rPr>
          <w:rFonts w:ascii="Arial" w:hAnsi="Arial" w:cs="Arial"/>
          <w:sz w:val="24"/>
          <w:szCs w:val="24"/>
        </w:rPr>
      </w:pPr>
    </w:p>
    <w:p w:rsidR="003541B0" w:rsidRPr="005C0FAB" w:rsidRDefault="003541B0" w:rsidP="00465984">
      <w:pPr>
        <w:pStyle w:val="Prrafodelista"/>
        <w:numPr>
          <w:ilvl w:val="0"/>
          <w:numId w:val="1"/>
        </w:numPr>
        <w:jc w:val="both"/>
        <w:rPr>
          <w:rFonts w:ascii="Arial" w:hAnsi="Arial" w:cs="Arial"/>
          <w:b/>
          <w:bCs/>
          <w:sz w:val="24"/>
          <w:szCs w:val="24"/>
        </w:rPr>
      </w:pPr>
      <w:r w:rsidRPr="005C0FAB">
        <w:rPr>
          <w:rFonts w:ascii="Arial" w:hAnsi="Arial" w:cs="Arial"/>
          <w:b/>
          <w:bCs/>
          <w:sz w:val="24"/>
          <w:szCs w:val="24"/>
        </w:rPr>
        <w:t xml:space="preserve"> Saldo a la fecha de corte (Columna 4°): </w:t>
      </w:r>
    </w:p>
    <w:p w:rsidR="003541B0" w:rsidRPr="00E12F61" w:rsidRDefault="003541B0" w:rsidP="00E12F61">
      <w:pPr>
        <w:jc w:val="both"/>
        <w:rPr>
          <w:rFonts w:ascii="Arial" w:hAnsi="Arial" w:cs="Arial"/>
          <w:sz w:val="24"/>
          <w:szCs w:val="24"/>
        </w:rPr>
      </w:pPr>
      <w:r w:rsidRPr="00E12F61">
        <w:rPr>
          <w:rFonts w:ascii="Arial" w:hAnsi="Arial" w:cs="Arial"/>
          <w:sz w:val="24"/>
          <w:szCs w:val="24"/>
        </w:rPr>
        <w:t xml:space="preserve">Corresponde al saldo </w:t>
      </w:r>
      <w:r w:rsidRPr="00E12F61">
        <w:rPr>
          <w:rFonts w:ascii="Arial" w:hAnsi="Arial" w:cs="Arial"/>
          <w:b/>
          <w:bCs/>
          <w:sz w:val="24"/>
          <w:szCs w:val="24"/>
        </w:rPr>
        <w:t xml:space="preserve">en pesos </w:t>
      </w:r>
      <w:r w:rsidRPr="00E12F61">
        <w:rPr>
          <w:rFonts w:ascii="Arial" w:hAnsi="Arial" w:cs="Arial"/>
          <w:sz w:val="24"/>
          <w:szCs w:val="24"/>
        </w:rPr>
        <w:t>que presentaba la cuenta fiduciaria, el fondo de inversión o la cartera colectiva, el último día hábil del bimestre respectivo, o el valor de las garantías o títulos expedidos con cargo al patrimonio autónomo en el caso de fiducias en garantía o de titularización.</w:t>
      </w:r>
    </w:p>
    <w:p w:rsidR="003541B0" w:rsidRPr="005C0FAB" w:rsidRDefault="003541B0" w:rsidP="005C0FAB">
      <w:pPr>
        <w:pStyle w:val="Prrafodelista"/>
        <w:ind w:left="705"/>
        <w:jc w:val="both"/>
        <w:rPr>
          <w:rFonts w:ascii="Arial" w:hAnsi="Arial" w:cs="Arial"/>
          <w:b/>
          <w:bCs/>
          <w:sz w:val="24"/>
          <w:szCs w:val="24"/>
        </w:rPr>
      </w:pPr>
    </w:p>
    <w:p w:rsidR="003541B0" w:rsidRPr="00465984" w:rsidRDefault="00465984" w:rsidP="00465984">
      <w:pPr>
        <w:spacing w:after="0" w:line="240" w:lineRule="auto"/>
        <w:ind w:left="360"/>
        <w:jc w:val="both"/>
        <w:rPr>
          <w:rFonts w:ascii="Arial" w:hAnsi="Arial" w:cs="Arial"/>
          <w:b/>
          <w:bCs/>
          <w:sz w:val="24"/>
          <w:szCs w:val="24"/>
        </w:rPr>
      </w:pPr>
      <w:r>
        <w:rPr>
          <w:rFonts w:ascii="Arial" w:hAnsi="Arial" w:cs="Arial"/>
          <w:b/>
          <w:bCs/>
          <w:sz w:val="24"/>
          <w:szCs w:val="24"/>
        </w:rPr>
        <w:t>5.</w:t>
      </w:r>
      <w:r w:rsidR="003541B0" w:rsidRPr="00465984">
        <w:rPr>
          <w:rFonts w:ascii="Arial" w:hAnsi="Arial" w:cs="Arial"/>
          <w:b/>
          <w:bCs/>
          <w:sz w:val="24"/>
          <w:szCs w:val="24"/>
        </w:rPr>
        <w:t xml:space="preserve"> Naturaleza de los Recursos (Columna 5°):</w:t>
      </w:r>
      <w:r>
        <w:rPr>
          <w:rFonts w:ascii="Arial" w:hAnsi="Arial" w:cs="Arial"/>
          <w:b/>
          <w:bCs/>
          <w:sz w:val="24"/>
          <w:szCs w:val="24"/>
        </w:rPr>
        <w:t xml:space="preserve"> </w:t>
      </w:r>
      <w:r w:rsidR="00E12F61" w:rsidRPr="00465984">
        <w:rPr>
          <w:rFonts w:ascii="Arial" w:hAnsi="Arial" w:cs="Arial"/>
          <w:sz w:val="24"/>
          <w:szCs w:val="24"/>
        </w:rPr>
        <w:t>Especificar</w:t>
      </w:r>
      <w:r w:rsidR="003541B0" w:rsidRPr="00465984">
        <w:rPr>
          <w:rFonts w:ascii="Arial" w:hAnsi="Arial" w:cs="Arial"/>
          <w:sz w:val="24"/>
          <w:szCs w:val="24"/>
        </w:rPr>
        <w:t xml:space="preserve"> si los recursos son del orden Nacional, Departamental o Municipal.</w:t>
      </w:r>
    </w:p>
    <w:p w:rsidR="003541B0" w:rsidRPr="005C0FAB" w:rsidRDefault="003541B0" w:rsidP="00465984">
      <w:pPr>
        <w:pStyle w:val="Prrafodelista"/>
        <w:spacing w:after="0" w:line="240" w:lineRule="auto"/>
        <w:ind w:left="709" w:hanging="709"/>
        <w:jc w:val="both"/>
        <w:rPr>
          <w:rFonts w:ascii="Arial" w:hAnsi="Arial" w:cs="Arial"/>
          <w:sz w:val="24"/>
          <w:szCs w:val="24"/>
        </w:rPr>
      </w:pPr>
    </w:p>
    <w:p w:rsidR="003541B0" w:rsidRPr="00465984" w:rsidRDefault="003541B0" w:rsidP="00465984">
      <w:pPr>
        <w:pStyle w:val="Prrafodelista"/>
        <w:numPr>
          <w:ilvl w:val="0"/>
          <w:numId w:val="10"/>
        </w:numPr>
        <w:spacing w:after="0" w:line="240" w:lineRule="auto"/>
        <w:jc w:val="both"/>
        <w:rPr>
          <w:rFonts w:ascii="Arial" w:hAnsi="Arial" w:cs="Arial"/>
          <w:b/>
          <w:bCs/>
          <w:sz w:val="24"/>
          <w:szCs w:val="24"/>
        </w:rPr>
      </w:pPr>
      <w:r w:rsidRPr="00465984">
        <w:rPr>
          <w:rFonts w:ascii="Arial" w:hAnsi="Arial" w:cs="Arial"/>
          <w:b/>
          <w:bCs/>
          <w:sz w:val="24"/>
          <w:szCs w:val="24"/>
        </w:rPr>
        <w:t>Tipo de Gasto (Columna 6°):</w:t>
      </w:r>
      <w:r w:rsidR="00465984" w:rsidRPr="00465984">
        <w:rPr>
          <w:rFonts w:ascii="Arial" w:hAnsi="Arial" w:cs="Arial"/>
          <w:b/>
          <w:bCs/>
          <w:sz w:val="24"/>
          <w:szCs w:val="24"/>
        </w:rPr>
        <w:t xml:space="preserve"> </w:t>
      </w:r>
      <w:r w:rsidR="00E12F61" w:rsidRPr="00465984">
        <w:rPr>
          <w:rFonts w:ascii="Arial" w:hAnsi="Arial" w:cs="Arial"/>
          <w:sz w:val="24"/>
          <w:szCs w:val="24"/>
        </w:rPr>
        <w:t>Especificar si el gasto es para</w:t>
      </w:r>
      <w:r w:rsidRPr="00465984">
        <w:rPr>
          <w:rFonts w:ascii="Arial" w:hAnsi="Arial" w:cs="Arial"/>
          <w:sz w:val="24"/>
          <w:szCs w:val="24"/>
        </w:rPr>
        <w:t>: Inversión, Funcionamiento o Pago de Deuda.</w:t>
      </w:r>
    </w:p>
    <w:p w:rsidR="003541B0" w:rsidRPr="005C0FAB" w:rsidRDefault="003541B0" w:rsidP="00465984">
      <w:pPr>
        <w:pStyle w:val="Prrafodelista"/>
        <w:spacing w:after="0" w:line="240" w:lineRule="auto"/>
        <w:ind w:left="709" w:hanging="709"/>
        <w:jc w:val="both"/>
        <w:rPr>
          <w:rFonts w:ascii="Arial" w:hAnsi="Arial" w:cs="Arial"/>
          <w:sz w:val="24"/>
          <w:szCs w:val="24"/>
        </w:rPr>
      </w:pPr>
    </w:p>
    <w:p w:rsidR="003541B0" w:rsidRPr="00465984" w:rsidRDefault="003541B0" w:rsidP="00465984">
      <w:pPr>
        <w:pStyle w:val="Prrafodelista"/>
        <w:numPr>
          <w:ilvl w:val="0"/>
          <w:numId w:val="10"/>
        </w:numPr>
        <w:spacing w:after="0" w:line="240" w:lineRule="auto"/>
        <w:jc w:val="both"/>
        <w:rPr>
          <w:rFonts w:ascii="Arial" w:hAnsi="Arial" w:cs="Arial"/>
          <w:b/>
          <w:bCs/>
          <w:sz w:val="24"/>
          <w:szCs w:val="24"/>
        </w:rPr>
      </w:pPr>
      <w:r w:rsidRPr="005C0FAB">
        <w:rPr>
          <w:rFonts w:ascii="Arial" w:hAnsi="Arial" w:cs="Arial"/>
          <w:b/>
          <w:bCs/>
          <w:sz w:val="24"/>
          <w:szCs w:val="24"/>
        </w:rPr>
        <w:t>Tipo de activos Fideicomitidos (Columna 7°):</w:t>
      </w:r>
      <w:r w:rsidR="00465984">
        <w:rPr>
          <w:rFonts w:ascii="Arial" w:hAnsi="Arial" w:cs="Arial"/>
          <w:b/>
          <w:bCs/>
          <w:sz w:val="24"/>
          <w:szCs w:val="24"/>
        </w:rPr>
        <w:t xml:space="preserve"> </w:t>
      </w:r>
      <w:r w:rsidR="00E12F61">
        <w:rPr>
          <w:rFonts w:ascii="Arial" w:hAnsi="Arial" w:cs="Arial"/>
          <w:sz w:val="24"/>
          <w:szCs w:val="24"/>
        </w:rPr>
        <w:t>Especifica r tipo de activo:</w:t>
      </w:r>
      <w:r w:rsidRPr="005C0FAB">
        <w:rPr>
          <w:rFonts w:ascii="Arial" w:hAnsi="Arial" w:cs="Arial"/>
          <w:sz w:val="24"/>
          <w:szCs w:val="24"/>
        </w:rPr>
        <w:t xml:space="preserve"> Bienes inmuebles, Bienes muebles, Activos monetarios, Otros (Explicar).</w:t>
      </w:r>
    </w:p>
    <w:p w:rsidR="003541B0" w:rsidRPr="005C0FAB" w:rsidRDefault="003541B0" w:rsidP="00465984">
      <w:pPr>
        <w:pStyle w:val="Prrafodelista"/>
        <w:spacing w:after="0" w:line="240" w:lineRule="auto"/>
        <w:ind w:left="709" w:hanging="709"/>
        <w:jc w:val="both"/>
        <w:rPr>
          <w:rFonts w:ascii="Arial" w:hAnsi="Arial" w:cs="Arial"/>
          <w:sz w:val="24"/>
          <w:szCs w:val="24"/>
        </w:rPr>
      </w:pPr>
    </w:p>
    <w:p w:rsidR="00E12F61" w:rsidRPr="00465984" w:rsidRDefault="003541B0" w:rsidP="00465984">
      <w:pPr>
        <w:pStyle w:val="Prrafodelista"/>
        <w:numPr>
          <w:ilvl w:val="0"/>
          <w:numId w:val="10"/>
        </w:numPr>
        <w:spacing w:after="0" w:line="240" w:lineRule="auto"/>
        <w:jc w:val="both"/>
        <w:rPr>
          <w:rFonts w:ascii="Arial" w:hAnsi="Arial" w:cs="Arial"/>
          <w:b/>
          <w:bCs/>
          <w:sz w:val="24"/>
          <w:szCs w:val="24"/>
        </w:rPr>
      </w:pPr>
      <w:r w:rsidRPr="005C0FAB">
        <w:rPr>
          <w:rFonts w:ascii="Arial" w:hAnsi="Arial" w:cs="Arial"/>
          <w:sz w:val="24"/>
          <w:szCs w:val="24"/>
        </w:rPr>
        <w:t xml:space="preserve"> </w:t>
      </w:r>
      <w:r w:rsidRPr="005C0FAB">
        <w:rPr>
          <w:rFonts w:ascii="Arial" w:hAnsi="Arial" w:cs="Arial"/>
          <w:b/>
          <w:bCs/>
          <w:sz w:val="24"/>
          <w:szCs w:val="24"/>
        </w:rPr>
        <w:t>Destinación de los recursos (Columna 8°)</w:t>
      </w:r>
      <w:r w:rsidR="00465984">
        <w:rPr>
          <w:rFonts w:ascii="Arial" w:hAnsi="Arial" w:cs="Arial"/>
          <w:b/>
          <w:bCs/>
          <w:sz w:val="24"/>
          <w:szCs w:val="24"/>
        </w:rPr>
        <w:t>. Especificar</w:t>
      </w:r>
      <w:r w:rsidR="0023496F" w:rsidRPr="00465984">
        <w:rPr>
          <w:rFonts w:ascii="Arial" w:hAnsi="Arial" w:cs="Arial"/>
          <w:sz w:val="24"/>
          <w:szCs w:val="24"/>
        </w:rPr>
        <w:t xml:space="preserve"> la opción del destino del recurso</w:t>
      </w:r>
      <w:r w:rsidR="00465984">
        <w:rPr>
          <w:rFonts w:ascii="Arial" w:hAnsi="Arial" w:cs="Arial"/>
          <w:sz w:val="24"/>
          <w:szCs w:val="24"/>
        </w:rPr>
        <w:t>, según la siguiente lista</w:t>
      </w:r>
    </w:p>
    <w:p w:rsidR="00465984" w:rsidRPr="00465984" w:rsidRDefault="00465984" w:rsidP="00465984">
      <w:pPr>
        <w:spacing w:after="0" w:line="240" w:lineRule="auto"/>
        <w:jc w:val="both"/>
        <w:rPr>
          <w:rFonts w:ascii="Arial" w:hAnsi="Arial" w:cs="Arial"/>
          <w:b/>
          <w:bCs/>
          <w:sz w:val="24"/>
          <w:szCs w:val="24"/>
        </w:rPr>
      </w:pPr>
    </w:p>
    <w:tbl>
      <w:tblPr>
        <w:tblStyle w:val="Sombreadoclaro-nfasis1"/>
        <w:tblW w:w="0" w:type="auto"/>
        <w:tblLook w:val="04A0"/>
      </w:tblPr>
      <w:tblGrid>
        <w:gridCol w:w="8992"/>
      </w:tblGrid>
      <w:tr w:rsidR="00E12F61" w:rsidRPr="0023496F" w:rsidTr="00465984">
        <w:trPr>
          <w:cnfStyle w:val="100000000000"/>
          <w:trHeight w:val="278"/>
        </w:trPr>
        <w:tc>
          <w:tcPr>
            <w:cnfStyle w:val="001000000000"/>
            <w:tcW w:w="8992" w:type="dxa"/>
          </w:tcPr>
          <w:p w:rsidR="00E12F61" w:rsidRPr="0023496F" w:rsidRDefault="00E12F61" w:rsidP="00E12F61">
            <w:pPr>
              <w:pStyle w:val="Prrafodelista"/>
              <w:numPr>
                <w:ilvl w:val="0"/>
                <w:numId w:val="9"/>
              </w:numPr>
              <w:jc w:val="both"/>
              <w:rPr>
                <w:rFonts w:ascii="Arial" w:hAnsi="Arial" w:cs="Arial"/>
                <w:b w:val="0"/>
                <w:color w:val="auto"/>
                <w:sz w:val="24"/>
                <w:szCs w:val="24"/>
              </w:rPr>
            </w:pPr>
            <w:r w:rsidRPr="0023496F">
              <w:rPr>
                <w:rFonts w:ascii="Arial" w:hAnsi="Arial" w:cs="Arial"/>
                <w:b w:val="0"/>
                <w:color w:val="auto"/>
                <w:sz w:val="24"/>
                <w:szCs w:val="24"/>
              </w:rPr>
              <w:t>Educación</w:t>
            </w:r>
          </w:p>
        </w:tc>
      </w:tr>
      <w:tr w:rsidR="00E12F61" w:rsidRPr="0023496F" w:rsidTr="00465984">
        <w:trPr>
          <w:cnfStyle w:val="000000100000"/>
          <w:trHeight w:val="278"/>
        </w:trPr>
        <w:tc>
          <w:tcPr>
            <w:cnfStyle w:val="001000000000"/>
            <w:tcW w:w="8992" w:type="dxa"/>
          </w:tcPr>
          <w:p w:rsidR="00E12F61" w:rsidRPr="0023496F" w:rsidRDefault="00E12F61" w:rsidP="00E12F61">
            <w:pPr>
              <w:pStyle w:val="Prrafodelista"/>
              <w:numPr>
                <w:ilvl w:val="0"/>
                <w:numId w:val="9"/>
              </w:numPr>
              <w:jc w:val="both"/>
              <w:rPr>
                <w:rFonts w:ascii="Arial" w:hAnsi="Arial" w:cs="Arial"/>
                <w:b w:val="0"/>
                <w:color w:val="auto"/>
                <w:sz w:val="24"/>
                <w:szCs w:val="24"/>
              </w:rPr>
            </w:pPr>
            <w:r w:rsidRPr="0023496F">
              <w:rPr>
                <w:rFonts w:ascii="Arial" w:hAnsi="Arial" w:cs="Arial"/>
                <w:b w:val="0"/>
                <w:color w:val="auto"/>
                <w:sz w:val="24"/>
                <w:szCs w:val="24"/>
              </w:rPr>
              <w:t>Salud</w:t>
            </w:r>
          </w:p>
        </w:tc>
      </w:tr>
      <w:tr w:rsidR="00E12F61" w:rsidRPr="0023496F" w:rsidTr="00465984">
        <w:trPr>
          <w:trHeight w:val="265"/>
        </w:trPr>
        <w:tc>
          <w:tcPr>
            <w:cnfStyle w:val="001000000000"/>
            <w:tcW w:w="8992" w:type="dxa"/>
          </w:tcPr>
          <w:p w:rsidR="00E12F61" w:rsidRPr="0023496F" w:rsidRDefault="00E12F61" w:rsidP="00E12F61">
            <w:pPr>
              <w:pStyle w:val="Prrafodelista"/>
              <w:numPr>
                <w:ilvl w:val="0"/>
                <w:numId w:val="9"/>
              </w:numPr>
              <w:jc w:val="both"/>
              <w:rPr>
                <w:rFonts w:ascii="Arial" w:hAnsi="Arial" w:cs="Arial"/>
                <w:b w:val="0"/>
                <w:color w:val="auto"/>
                <w:sz w:val="24"/>
                <w:szCs w:val="24"/>
              </w:rPr>
            </w:pPr>
            <w:r w:rsidRPr="0023496F">
              <w:rPr>
                <w:rFonts w:ascii="Arial" w:hAnsi="Arial" w:cs="Arial"/>
                <w:b w:val="0"/>
                <w:color w:val="auto"/>
                <w:sz w:val="24"/>
                <w:szCs w:val="24"/>
              </w:rPr>
              <w:t>Agua Potable y Saneamiento Básico</w:t>
            </w:r>
          </w:p>
        </w:tc>
      </w:tr>
      <w:tr w:rsidR="00E12F61" w:rsidRPr="0023496F" w:rsidTr="00465984">
        <w:trPr>
          <w:cnfStyle w:val="000000100000"/>
          <w:trHeight w:val="265"/>
        </w:trPr>
        <w:tc>
          <w:tcPr>
            <w:cnfStyle w:val="001000000000"/>
            <w:tcW w:w="8992" w:type="dxa"/>
          </w:tcPr>
          <w:p w:rsidR="00E12F61" w:rsidRPr="0023496F" w:rsidRDefault="00E12F61" w:rsidP="00E12F61">
            <w:pPr>
              <w:pStyle w:val="Prrafodelista"/>
              <w:numPr>
                <w:ilvl w:val="0"/>
                <w:numId w:val="9"/>
              </w:numPr>
              <w:jc w:val="both"/>
              <w:rPr>
                <w:rFonts w:ascii="Arial" w:hAnsi="Arial" w:cs="Arial"/>
                <w:b w:val="0"/>
                <w:color w:val="auto"/>
                <w:sz w:val="24"/>
                <w:szCs w:val="24"/>
              </w:rPr>
            </w:pPr>
            <w:r w:rsidRPr="0023496F">
              <w:rPr>
                <w:rFonts w:ascii="Arial" w:hAnsi="Arial" w:cs="Arial"/>
                <w:b w:val="0"/>
                <w:color w:val="auto"/>
                <w:sz w:val="24"/>
                <w:szCs w:val="24"/>
              </w:rPr>
              <w:t>Propósito General</w:t>
            </w:r>
          </w:p>
        </w:tc>
      </w:tr>
      <w:tr w:rsidR="00E12F61" w:rsidRPr="0023496F" w:rsidTr="00465984">
        <w:trPr>
          <w:trHeight w:val="278"/>
        </w:trPr>
        <w:tc>
          <w:tcPr>
            <w:cnfStyle w:val="001000000000"/>
            <w:tcW w:w="8992" w:type="dxa"/>
          </w:tcPr>
          <w:p w:rsidR="00E12F61" w:rsidRPr="0023496F" w:rsidRDefault="0023496F" w:rsidP="00E12F61">
            <w:pPr>
              <w:jc w:val="both"/>
              <w:rPr>
                <w:rFonts w:ascii="Arial" w:hAnsi="Arial" w:cs="Arial"/>
                <w:b w:val="0"/>
                <w:color w:val="auto"/>
                <w:sz w:val="24"/>
                <w:szCs w:val="24"/>
              </w:rPr>
            </w:pPr>
            <w:r w:rsidRPr="0023496F">
              <w:rPr>
                <w:rFonts w:ascii="Arial" w:hAnsi="Arial" w:cs="Arial"/>
                <w:b w:val="0"/>
                <w:color w:val="auto"/>
                <w:sz w:val="24"/>
                <w:szCs w:val="24"/>
              </w:rPr>
              <w:t xml:space="preserve">          4.1 Servicios Públicos</w:t>
            </w:r>
          </w:p>
        </w:tc>
      </w:tr>
      <w:tr w:rsidR="0023496F" w:rsidRPr="0023496F" w:rsidTr="00465984">
        <w:trPr>
          <w:cnfStyle w:val="000000100000"/>
          <w:trHeight w:val="265"/>
        </w:trPr>
        <w:tc>
          <w:tcPr>
            <w:cnfStyle w:val="001000000000"/>
            <w:tcW w:w="8992" w:type="dxa"/>
          </w:tcPr>
          <w:p w:rsidR="0023496F" w:rsidRPr="0023496F" w:rsidRDefault="0023496F" w:rsidP="0023496F">
            <w:pPr>
              <w:jc w:val="both"/>
              <w:rPr>
                <w:rFonts w:ascii="Arial" w:hAnsi="Arial" w:cs="Arial"/>
                <w:b w:val="0"/>
                <w:color w:val="auto"/>
                <w:sz w:val="24"/>
                <w:szCs w:val="24"/>
              </w:rPr>
            </w:pPr>
            <w:r w:rsidRPr="0023496F">
              <w:rPr>
                <w:rFonts w:ascii="Arial" w:hAnsi="Arial" w:cs="Arial"/>
                <w:b w:val="0"/>
                <w:color w:val="auto"/>
                <w:sz w:val="24"/>
                <w:szCs w:val="24"/>
              </w:rPr>
              <w:t xml:space="preserve">          4.2 Vivienda</w:t>
            </w:r>
          </w:p>
        </w:tc>
      </w:tr>
      <w:tr w:rsidR="0023496F" w:rsidRPr="0023496F" w:rsidTr="00465984">
        <w:trPr>
          <w:trHeight w:val="278"/>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4.3 Sector Agropecuario</w:t>
            </w:r>
          </w:p>
        </w:tc>
      </w:tr>
      <w:tr w:rsidR="0023496F" w:rsidRPr="0023496F" w:rsidTr="00465984">
        <w:trPr>
          <w:cnfStyle w:val="000000100000"/>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4.4 Sector Transporte</w:t>
            </w:r>
          </w:p>
        </w:tc>
      </w:tr>
      <w:tr w:rsidR="0023496F" w:rsidRPr="0023496F" w:rsidTr="00465984">
        <w:trPr>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4.5 Sector Ambiental</w:t>
            </w:r>
          </w:p>
        </w:tc>
      </w:tr>
      <w:tr w:rsidR="0023496F" w:rsidRPr="0023496F" w:rsidTr="00465984">
        <w:trPr>
          <w:cnfStyle w:val="000000100000"/>
          <w:trHeight w:val="278"/>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4.6 Centros de Reclusión</w:t>
            </w:r>
          </w:p>
        </w:tc>
      </w:tr>
      <w:tr w:rsidR="0023496F" w:rsidRPr="0023496F" w:rsidTr="00465984">
        <w:trPr>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4.7 Sector Recreación y Deporte</w:t>
            </w:r>
          </w:p>
        </w:tc>
      </w:tr>
      <w:tr w:rsidR="0023496F" w:rsidRPr="0023496F" w:rsidTr="00465984">
        <w:trPr>
          <w:cnfStyle w:val="000000100000"/>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4.8 Sector Cultura</w:t>
            </w:r>
          </w:p>
        </w:tc>
      </w:tr>
      <w:tr w:rsidR="0023496F" w:rsidRPr="0023496F" w:rsidTr="00465984">
        <w:trPr>
          <w:trHeight w:val="278"/>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lastRenderedPageBreak/>
              <w:t xml:space="preserve">          </w:t>
            </w:r>
            <w:r w:rsidRPr="0023496F">
              <w:rPr>
                <w:rFonts w:ascii="Arial" w:hAnsi="Arial" w:cs="Arial"/>
                <w:b w:val="0"/>
                <w:color w:val="auto"/>
                <w:sz w:val="24"/>
                <w:szCs w:val="24"/>
              </w:rPr>
              <w:t>4.9 Sector Prevención y Atención de Desastres</w:t>
            </w:r>
          </w:p>
        </w:tc>
      </w:tr>
      <w:tr w:rsidR="0023496F" w:rsidRPr="0023496F" w:rsidTr="00465984">
        <w:trPr>
          <w:cnfStyle w:val="000000100000"/>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4.10 Sector Promoción del Desarrollo</w:t>
            </w:r>
          </w:p>
        </w:tc>
      </w:tr>
      <w:tr w:rsidR="0023496F" w:rsidRPr="0023496F" w:rsidTr="00465984">
        <w:trPr>
          <w:trHeight w:val="278"/>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4.11 Sector Atención Grupos Vulnerables</w:t>
            </w:r>
          </w:p>
        </w:tc>
      </w:tr>
      <w:tr w:rsidR="0023496F" w:rsidRPr="0023496F" w:rsidTr="00465984">
        <w:trPr>
          <w:cnfStyle w:val="000000100000"/>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4.12 Equipamiento Municipal</w:t>
            </w:r>
          </w:p>
        </w:tc>
      </w:tr>
      <w:tr w:rsidR="0023496F" w:rsidRPr="0023496F" w:rsidTr="00465984">
        <w:trPr>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4.13 Desarrollo Comunitario</w:t>
            </w:r>
          </w:p>
        </w:tc>
      </w:tr>
      <w:tr w:rsidR="0023496F" w:rsidRPr="0023496F" w:rsidTr="00465984">
        <w:trPr>
          <w:cnfStyle w:val="000000100000"/>
          <w:trHeight w:val="278"/>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4.14 Fortalecimiento Institucional</w:t>
            </w:r>
          </w:p>
        </w:tc>
      </w:tr>
      <w:tr w:rsidR="0023496F" w:rsidRPr="0023496F" w:rsidTr="00465984">
        <w:trPr>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4.15 Sector Justicia</w:t>
            </w:r>
          </w:p>
        </w:tc>
      </w:tr>
      <w:tr w:rsidR="0023496F" w:rsidRPr="0023496F" w:rsidTr="00465984">
        <w:trPr>
          <w:cnfStyle w:val="000000100000"/>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4.16 Orden Público, seguridad, Convivencia Ciudadana</w:t>
            </w:r>
          </w:p>
        </w:tc>
      </w:tr>
      <w:tr w:rsidR="0023496F" w:rsidRPr="0023496F" w:rsidTr="00465984">
        <w:trPr>
          <w:trHeight w:val="278"/>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4.17 Restaurantes Escolares</w:t>
            </w:r>
          </w:p>
        </w:tc>
      </w:tr>
      <w:tr w:rsidR="0023496F" w:rsidRPr="0023496F" w:rsidTr="00465984">
        <w:trPr>
          <w:cnfStyle w:val="000000100000"/>
          <w:trHeight w:val="265"/>
        </w:trPr>
        <w:tc>
          <w:tcPr>
            <w:cnfStyle w:val="001000000000"/>
            <w:tcW w:w="8992" w:type="dxa"/>
          </w:tcPr>
          <w:p w:rsidR="0023496F" w:rsidRPr="0023496F" w:rsidRDefault="0023496F" w:rsidP="00E12F61">
            <w:pPr>
              <w:jc w:val="both"/>
              <w:rPr>
                <w:rFonts w:ascii="Arial" w:hAnsi="Arial" w:cs="Arial"/>
                <w:b w:val="0"/>
                <w:color w:val="auto"/>
                <w:sz w:val="24"/>
                <w:szCs w:val="24"/>
              </w:rPr>
            </w:pPr>
            <w:r>
              <w:rPr>
                <w:rFonts w:ascii="Arial" w:hAnsi="Arial" w:cs="Arial"/>
                <w:b w:val="0"/>
                <w:color w:val="auto"/>
                <w:sz w:val="24"/>
                <w:szCs w:val="24"/>
              </w:rPr>
              <w:t xml:space="preserve">          </w:t>
            </w:r>
            <w:r w:rsidRPr="0023496F">
              <w:rPr>
                <w:rFonts w:ascii="Arial" w:hAnsi="Arial" w:cs="Arial"/>
                <w:b w:val="0"/>
                <w:color w:val="auto"/>
                <w:sz w:val="24"/>
                <w:szCs w:val="24"/>
              </w:rPr>
              <w:t>4.18 Empleo</w:t>
            </w:r>
          </w:p>
        </w:tc>
      </w:tr>
      <w:tr w:rsidR="0023496F" w:rsidRPr="0023496F" w:rsidTr="00465984">
        <w:trPr>
          <w:trHeight w:val="821"/>
        </w:trPr>
        <w:tc>
          <w:tcPr>
            <w:cnfStyle w:val="001000000000"/>
            <w:tcW w:w="8992" w:type="dxa"/>
          </w:tcPr>
          <w:p w:rsidR="0023496F" w:rsidRPr="0023496F" w:rsidRDefault="0023496F" w:rsidP="0023496F">
            <w:pPr>
              <w:pStyle w:val="Prrafodelista"/>
              <w:numPr>
                <w:ilvl w:val="0"/>
                <w:numId w:val="9"/>
              </w:numPr>
              <w:jc w:val="both"/>
              <w:rPr>
                <w:rFonts w:ascii="Arial" w:hAnsi="Arial" w:cs="Arial"/>
                <w:b w:val="0"/>
                <w:color w:val="auto"/>
                <w:sz w:val="24"/>
                <w:szCs w:val="24"/>
              </w:rPr>
            </w:pPr>
            <w:r w:rsidRPr="0023496F">
              <w:rPr>
                <w:rFonts w:ascii="Arial" w:hAnsi="Arial" w:cs="Arial"/>
                <w:b w:val="0"/>
                <w:color w:val="auto"/>
                <w:sz w:val="24"/>
                <w:szCs w:val="24"/>
              </w:rPr>
              <w:t>Otros(para registrar situaciones no contempladas en los ítem anteriores y se debe explicar en el campo “Observaciones” del formato)</w:t>
            </w:r>
          </w:p>
          <w:p w:rsidR="0023496F" w:rsidRPr="0023496F" w:rsidRDefault="0023496F" w:rsidP="0023496F">
            <w:pPr>
              <w:ind w:left="360"/>
              <w:jc w:val="both"/>
              <w:rPr>
                <w:rFonts w:ascii="Arial" w:hAnsi="Arial" w:cs="Arial"/>
                <w:b w:val="0"/>
                <w:color w:val="auto"/>
                <w:sz w:val="24"/>
                <w:szCs w:val="24"/>
              </w:rPr>
            </w:pPr>
          </w:p>
        </w:tc>
      </w:tr>
    </w:tbl>
    <w:p w:rsidR="003541B0" w:rsidRPr="005C0FAB" w:rsidRDefault="003541B0" w:rsidP="005C0FAB">
      <w:pPr>
        <w:pStyle w:val="Prrafodelista"/>
        <w:ind w:left="567"/>
        <w:jc w:val="both"/>
        <w:rPr>
          <w:rFonts w:ascii="Arial" w:hAnsi="Arial" w:cs="Arial"/>
          <w:sz w:val="24"/>
          <w:szCs w:val="24"/>
        </w:rPr>
      </w:pPr>
    </w:p>
    <w:p w:rsidR="003541B0" w:rsidRPr="005C0FAB" w:rsidRDefault="003541B0" w:rsidP="005C0FAB">
      <w:pPr>
        <w:pStyle w:val="Prrafodelista"/>
        <w:ind w:left="0"/>
        <w:jc w:val="both"/>
        <w:rPr>
          <w:rFonts w:ascii="Arial" w:hAnsi="Arial" w:cs="Arial"/>
          <w:sz w:val="24"/>
          <w:szCs w:val="24"/>
        </w:rPr>
      </w:pPr>
    </w:p>
    <w:p w:rsidR="00981863" w:rsidRPr="005C0FAB" w:rsidRDefault="00981863" w:rsidP="005C0FAB">
      <w:pPr>
        <w:jc w:val="both"/>
        <w:rPr>
          <w:rFonts w:ascii="Arial" w:hAnsi="Arial" w:cs="Arial"/>
          <w:sz w:val="24"/>
          <w:szCs w:val="24"/>
        </w:rPr>
      </w:pPr>
    </w:p>
    <w:sectPr w:rsidR="00981863" w:rsidRPr="005C0FAB" w:rsidSect="0065540A">
      <w:headerReference w:type="default" r:id="rId8"/>
      <w:pgSz w:w="12240" w:h="20160" w:code="5"/>
      <w:pgMar w:top="1417" w:right="1701" w:bottom="1417" w:left="1701" w:header="708" w:footer="12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A8F" w:rsidRDefault="00BA4A8F" w:rsidP="00832E1E">
      <w:pPr>
        <w:spacing w:after="0" w:line="240" w:lineRule="auto"/>
      </w:pPr>
      <w:r>
        <w:separator/>
      </w:r>
    </w:p>
  </w:endnote>
  <w:endnote w:type="continuationSeparator" w:id="1">
    <w:p w:rsidR="00BA4A8F" w:rsidRDefault="00BA4A8F" w:rsidP="00832E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A8F" w:rsidRDefault="00BA4A8F" w:rsidP="00832E1E">
      <w:pPr>
        <w:spacing w:after="0" w:line="240" w:lineRule="auto"/>
      </w:pPr>
      <w:r>
        <w:separator/>
      </w:r>
    </w:p>
  </w:footnote>
  <w:footnote w:type="continuationSeparator" w:id="1">
    <w:p w:rsidR="00BA4A8F" w:rsidRDefault="00BA4A8F" w:rsidP="00832E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E1E" w:rsidRPr="00832E1E" w:rsidRDefault="00832E1E" w:rsidP="00832E1E">
    <w:pPr>
      <w:pStyle w:val="Encabezado"/>
    </w:pPr>
    <w:r>
      <w:rPr>
        <w:noProof/>
        <w:lang w:eastAsia="es-CO"/>
      </w:rPr>
      <w:drawing>
        <wp:inline distT="0" distB="0" distL="0" distR="0">
          <wp:extent cx="5611454" cy="974784"/>
          <wp:effectExtent l="19050" t="0" r="8296" b="0"/>
          <wp:docPr id="1" name="0 Imagen" descr="LOGO CONTRALO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ONTRALORIA.jpg"/>
                  <pic:cNvPicPr/>
                </pic:nvPicPr>
                <pic:blipFill>
                  <a:blip r:embed="rId1"/>
                  <a:stretch>
                    <a:fillRect/>
                  </a:stretch>
                </pic:blipFill>
                <pic:spPr>
                  <a:xfrm>
                    <a:off x="0" y="0"/>
                    <a:ext cx="5612130" cy="974901"/>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D3160"/>
    <w:multiLevelType w:val="multilevel"/>
    <w:tmpl w:val="BBD42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
    <w:nsid w:val="130E2CC1"/>
    <w:multiLevelType w:val="hybridMultilevel"/>
    <w:tmpl w:val="1EA625C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B815657"/>
    <w:multiLevelType w:val="multilevel"/>
    <w:tmpl w:val="BBD42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nsid w:val="21B43CED"/>
    <w:multiLevelType w:val="hybridMultilevel"/>
    <w:tmpl w:val="A02420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DC76617"/>
    <w:multiLevelType w:val="multilevel"/>
    <w:tmpl w:val="BBD42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
    <w:nsid w:val="484C48D1"/>
    <w:multiLevelType w:val="hybridMultilevel"/>
    <w:tmpl w:val="C3AAFD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14E2BCF"/>
    <w:multiLevelType w:val="multilevel"/>
    <w:tmpl w:val="BBD42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
    <w:nsid w:val="63797394"/>
    <w:multiLevelType w:val="multilevel"/>
    <w:tmpl w:val="BBD42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
    <w:nsid w:val="6CF71EBA"/>
    <w:multiLevelType w:val="hybridMultilevel"/>
    <w:tmpl w:val="979CB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FB00403"/>
    <w:multiLevelType w:val="multilevel"/>
    <w:tmpl w:val="BBD42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5"/>
  </w:num>
  <w:num w:numId="2">
    <w:abstractNumId w:val="8"/>
  </w:num>
  <w:num w:numId="3">
    <w:abstractNumId w:val="6"/>
  </w:num>
  <w:num w:numId="4">
    <w:abstractNumId w:val="2"/>
  </w:num>
  <w:num w:numId="5">
    <w:abstractNumId w:val="4"/>
  </w:num>
  <w:num w:numId="6">
    <w:abstractNumId w:val="7"/>
  </w:num>
  <w:num w:numId="7">
    <w:abstractNumId w:val="0"/>
  </w:num>
  <w:num w:numId="8">
    <w:abstractNumId w:val="9"/>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832E1E"/>
    <w:rsid w:val="001933B9"/>
    <w:rsid w:val="0023496F"/>
    <w:rsid w:val="003541B0"/>
    <w:rsid w:val="00465984"/>
    <w:rsid w:val="005C0FAB"/>
    <w:rsid w:val="006219C0"/>
    <w:rsid w:val="006412D0"/>
    <w:rsid w:val="0065540A"/>
    <w:rsid w:val="006635E8"/>
    <w:rsid w:val="007C0A48"/>
    <w:rsid w:val="00820CA9"/>
    <w:rsid w:val="00832E1E"/>
    <w:rsid w:val="00871465"/>
    <w:rsid w:val="00981863"/>
    <w:rsid w:val="00AA46B2"/>
    <w:rsid w:val="00BA4A8F"/>
    <w:rsid w:val="00E12F6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863"/>
  </w:style>
  <w:style w:type="paragraph" w:styleId="Ttulo1">
    <w:name w:val="heading 1"/>
    <w:basedOn w:val="Normal"/>
    <w:next w:val="Normal"/>
    <w:link w:val="Ttulo1Car"/>
    <w:uiPriority w:val="9"/>
    <w:qFormat/>
    <w:rsid w:val="003541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832E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32E1E"/>
  </w:style>
  <w:style w:type="paragraph" w:styleId="Piedepgina">
    <w:name w:val="footer"/>
    <w:basedOn w:val="Normal"/>
    <w:link w:val="PiedepginaCar"/>
    <w:uiPriority w:val="99"/>
    <w:semiHidden/>
    <w:unhideWhenUsed/>
    <w:rsid w:val="00832E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832E1E"/>
  </w:style>
  <w:style w:type="paragraph" w:styleId="Textodeglobo">
    <w:name w:val="Balloon Text"/>
    <w:basedOn w:val="Normal"/>
    <w:link w:val="TextodegloboCar"/>
    <w:uiPriority w:val="99"/>
    <w:semiHidden/>
    <w:unhideWhenUsed/>
    <w:rsid w:val="00832E1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2E1E"/>
    <w:rPr>
      <w:rFonts w:ascii="Tahoma" w:hAnsi="Tahoma" w:cs="Tahoma"/>
      <w:sz w:val="16"/>
      <w:szCs w:val="16"/>
    </w:rPr>
  </w:style>
  <w:style w:type="paragraph" w:styleId="Prrafodelista">
    <w:name w:val="List Paragraph"/>
    <w:basedOn w:val="Normal"/>
    <w:uiPriority w:val="34"/>
    <w:qFormat/>
    <w:rsid w:val="003541B0"/>
    <w:pPr>
      <w:ind w:left="720"/>
      <w:contextualSpacing/>
    </w:pPr>
  </w:style>
  <w:style w:type="character" w:customStyle="1" w:styleId="Ttulo1Car">
    <w:name w:val="Título 1 Car"/>
    <w:basedOn w:val="Fuentedeprrafopredeter"/>
    <w:link w:val="Ttulo1"/>
    <w:uiPriority w:val="9"/>
    <w:rsid w:val="003541B0"/>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semiHidden/>
    <w:unhideWhenUsed/>
    <w:rsid w:val="003541B0"/>
    <w:rPr>
      <w:color w:val="0000FF"/>
      <w:u w:val="single"/>
    </w:rPr>
  </w:style>
  <w:style w:type="table" w:styleId="Tablaconcuadrcula">
    <w:name w:val="Table Grid"/>
    <w:basedOn w:val="Tablanormal"/>
    <w:uiPriority w:val="59"/>
    <w:rsid w:val="00871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ombreadoclaro-nfasis3">
    <w:name w:val="Light Shading Accent 3"/>
    <w:basedOn w:val="Tablanormal"/>
    <w:uiPriority w:val="60"/>
    <w:rsid w:val="0087146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87146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1030187240">
      <w:bodyDiv w:val="1"/>
      <w:marLeft w:val="0"/>
      <w:marRight w:val="0"/>
      <w:marTop w:val="0"/>
      <w:marBottom w:val="0"/>
      <w:divBdr>
        <w:top w:val="none" w:sz="0" w:space="0" w:color="auto"/>
        <w:left w:val="none" w:sz="0" w:space="0" w:color="auto"/>
        <w:bottom w:val="none" w:sz="0" w:space="0" w:color="auto"/>
        <w:right w:val="none" w:sz="0" w:space="0" w:color="auto"/>
      </w:divBdr>
    </w:div>
    <w:div w:id="117526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ntv.org.co/cntv_bop/basedoc/ley/1995/ley_0225_199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1700</Words>
  <Characters>9350</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dc:creator>
  <cp:lastModifiedBy>Natalia</cp:lastModifiedBy>
  <cp:revision>4</cp:revision>
  <cp:lastPrinted>2013-01-14T19:24:00Z</cp:lastPrinted>
  <dcterms:created xsi:type="dcterms:W3CDTF">2012-08-31T15:34:00Z</dcterms:created>
  <dcterms:modified xsi:type="dcterms:W3CDTF">2013-01-14T19:53:00Z</dcterms:modified>
</cp:coreProperties>
</file>